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2E" w:rsidRPr="00DF1A2E" w:rsidRDefault="00DF1A2E" w:rsidP="00DF1A2E">
      <w:pPr>
        <w:jc w:val="center"/>
        <w:rPr>
          <w:sz w:val="32"/>
          <w:szCs w:val="32"/>
        </w:rPr>
      </w:pPr>
      <w:bookmarkStart w:id="0" w:name="Anchor1"/>
      <w:bookmarkEnd w:id="0"/>
      <w:r w:rsidRPr="00DF1A2E">
        <w:rPr>
          <w:sz w:val="32"/>
          <w:szCs w:val="32"/>
          <w:rtl/>
        </w:rPr>
        <w:t>الطعن رقم 2200</w:t>
      </w:r>
      <w:bookmarkStart w:id="1" w:name="_GoBack"/>
      <w:bookmarkEnd w:id="1"/>
    </w:p>
    <w:p w:rsidR="00DF1A2E" w:rsidRPr="00DF1A2E" w:rsidRDefault="00DF1A2E" w:rsidP="00DF1A2E">
      <w:pPr>
        <w:rPr>
          <w:sz w:val="32"/>
          <w:szCs w:val="32"/>
        </w:rPr>
      </w:pPr>
      <w:bookmarkStart w:id="2" w:name="Anchor5"/>
      <w:bookmarkEnd w:id="2"/>
      <w:r w:rsidRPr="00DF1A2E">
        <w:rPr>
          <w:sz w:val="32"/>
          <w:szCs w:val="32"/>
          <w:rtl/>
        </w:rPr>
        <w:t>هيئة المحكمة</w:t>
      </w:r>
      <w:r w:rsidRPr="00DF1A2E">
        <w:rPr>
          <w:sz w:val="32"/>
          <w:szCs w:val="32"/>
        </w:rPr>
        <w:t xml:space="preserve">: </w:t>
      </w:r>
      <w:r w:rsidRPr="00DF1A2E">
        <w:rPr>
          <w:sz w:val="32"/>
          <w:szCs w:val="32"/>
          <w:rtl/>
        </w:rPr>
        <w:t>برئاسة السيد المستشـــار يونس محمد الياسين وكيل المحكمة وعضوية السادة المستشارين عادل علي البحوه ومحمد أحمد رشدي وإبراهيم الضبع وهشام فراويله</w:t>
      </w:r>
    </w:p>
    <w:bookmarkStart w:id="3" w:name="Anchor22"/>
    <w:bookmarkEnd w:id="3"/>
    <w:p w:rsidR="00DF1A2E" w:rsidRPr="00DF1A2E" w:rsidRDefault="00DF1A2E" w:rsidP="00DF1A2E">
      <w:pPr>
        <w:rPr>
          <w:sz w:val="32"/>
          <w:szCs w:val="32"/>
        </w:rPr>
      </w:pPr>
      <w:r w:rsidRPr="00DF1A2E">
        <w:rPr>
          <w:sz w:val="32"/>
          <w:szCs w:val="32"/>
        </w:rPr>
        <w:fldChar w:fldCharType="begin"/>
      </w:r>
      <w:r w:rsidRPr="00DF1A2E">
        <w:rPr>
          <w:sz w:val="32"/>
          <w:szCs w:val="32"/>
        </w:rPr>
        <w:instrText xml:space="preserve"> HYPERLINK "http://www.law.gov.kw/KWT_CC-Ar/00_2014/00_%D8%A7%D9%84%D8%AF%D8%A7%D8%A6%D8%B1%D8%A9%20%D8%A7%D9%84%D8%AA%D8%AC%D8%A7%D8%B1%D9%8A%D8%A9/KWT-CC-Ar_2014-12-15_02200_Taan.html" \l "TM2014_2200_1" </w:instrText>
      </w:r>
      <w:r w:rsidRPr="00DF1A2E">
        <w:rPr>
          <w:sz w:val="32"/>
          <w:szCs w:val="32"/>
        </w:rPr>
        <w:fldChar w:fldCharType="separate"/>
      </w:r>
      <w:r w:rsidRPr="00DF1A2E">
        <w:rPr>
          <w:rStyle w:val="Hyperlink"/>
          <w:sz w:val="32"/>
          <w:szCs w:val="32"/>
        </w:rPr>
        <w:t xml:space="preserve">1- </w:t>
      </w:r>
      <w:r w:rsidRPr="00DF1A2E">
        <w:rPr>
          <w:rStyle w:val="Hyperlink"/>
          <w:sz w:val="32"/>
          <w:szCs w:val="32"/>
          <w:rtl/>
        </w:rPr>
        <w:t>ان لمحكمة الموضوع السلطة في تحصيل وفهم الواقع في الدعوى وبحث ما يقدم فيها من الدلائل والمستندات</w:t>
      </w:r>
      <w:r w:rsidRPr="00DF1A2E">
        <w:rPr>
          <w:rStyle w:val="Hyperlink"/>
          <w:sz w:val="32"/>
          <w:szCs w:val="32"/>
        </w:rPr>
        <w:t>.</w:t>
      </w:r>
      <w:r w:rsidRPr="00DF1A2E">
        <w:rPr>
          <w:sz w:val="32"/>
          <w:szCs w:val="32"/>
        </w:rPr>
        <w:fldChar w:fldCharType="end"/>
      </w:r>
    </w:p>
    <w:bookmarkStart w:id="4" w:name="Anchor33"/>
    <w:bookmarkEnd w:id="4"/>
    <w:p w:rsidR="00DF1A2E" w:rsidRPr="00DF1A2E" w:rsidRDefault="00DF1A2E" w:rsidP="00DF1A2E">
      <w:pPr>
        <w:rPr>
          <w:sz w:val="32"/>
          <w:szCs w:val="32"/>
        </w:rPr>
      </w:pPr>
      <w:r w:rsidRPr="00DF1A2E">
        <w:rPr>
          <w:sz w:val="32"/>
          <w:szCs w:val="32"/>
        </w:rPr>
        <w:fldChar w:fldCharType="begin"/>
      </w:r>
      <w:r w:rsidRPr="00DF1A2E">
        <w:rPr>
          <w:sz w:val="32"/>
          <w:szCs w:val="32"/>
        </w:rPr>
        <w:instrText xml:space="preserve"> HYPERLINK "http://www.law.gov.kw/KWT_CC-Ar/00_2014/00_%D8%A7%D9%84%D8%AF%D8%A7%D8%A6%D8%B1%D8%A9%20%D8%A7%D9%84%D8%AA%D8%AC%D8%A7%D8%B1%D9%8A%D8%A9/KWT-CC-Ar_2014-12-15_02200_Taan.html" \l "TM2014_2200_2" </w:instrText>
      </w:r>
      <w:r w:rsidRPr="00DF1A2E">
        <w:rPr>
          <w:sz w:val="32"/>
          <w:szCs w:val="32"/>
        </w:rPr>
        <w:fldChar w:fldCharType="separate"/>
      </w:r>
      <w:r w:rsidRPr="00DF1A2E">
        <w:rPr>
          <w:rStyle w:val="Hyperlink"/>
          <w:sz w:val="32"/>
          <w:szCs w:val="32"/>
        </w:rPr>
        <w:t xml:space="preserve">2- </w:t>
      </w:r>
      <w:r w:rsidRPr="00DF1A2E">
        <w:rPr>
          <w:rStyle w:val="Hyperlink"/>
          <w:sz w:val="32"/>
          <w:szCs w:val="32"/>
          <w:rtl/>
        </w:rPr>
        <w:t>ان للمحكمة الاخذ بتقرير الخبير المنتدب في الدعوى متى اطمأنت اليه واقتنعت به</w:t>
      </w:r>
      <w:r w:rsidRPr="00DF1A2E">
        <w:rPr>
          <w:rStyle w:val="Hyperlink"/>
          <w:sz w:val="32"/>
          <w:szCs w:val="32"/>
        </w:rPr>
        <w:t>.</w:t>
      </w:r>
      <w:r w:rsidRPr="00DF1A2E">
        <w:rPr>
          <w:sz w:val="32"/>
          <w:szCs w:val="32"/>
        </w:rPr>
        <w:fldChar w:fldCharType="end"/>
      </w:r>
    </w:p>
    <w:bookmarkStart w:id="5" w:name="Anchor42"/>
    <w:bookmarkEnd w:id="5"/>
    <w:p w:rsidR="00DF1A2E" w:rsidRPr="00DF1A2E" w:rsidRDefault="00DF1A2E" w:rsidP="00DF1A2E">
      <w:pPr>
        <w:rPr>
          <w:sz w:val="32"/>
          <w:szCs w:val="32"/>
        </w:rPr>
      </w:pPr>
      <w:r w:rsidRPr="00DF1A2E">
        <w:rPr>
          <w:sz w:val="32"/>
          <w:szCs w:val="32"/>
        </w:rPr>
        <w:fldChar w:fldCharType="begin"/>
      </w:r>
      <w:r w:rsidRPr="00DF1A2E">
        <w:rPr>
          <w:sz w:val="32"/>
          <w:szCs w:val="32"/>
        </w:rPr>
        <w:instrText xml:space="preserve"> HYPERLINK "http://www.law.gov.kw/KWT_CC-Ar/00_2014/00_%D8%A7%D9%84%D8%AF%D8%A7%D8%A6%D8%B1%D8%A9%20%D8%A7%D9%84%D8%AA%D8%AC%D8%A7%D8%B1%D9%8A%D8%A9/KWT-CC-Ar_2014-12-15_02200_Taan.html" \l "TM2014_2200_3" </w:instrText>
      </w:r>
      <w:r w:rsidRPr="00DF1A2E">
        <w:rPr>
          <w:sz w:val="32"/>
          <w:szCs w:val="32"/>
        </w:rPr>
        <w:fldChar w:fldCharType="separate"/>
      </w:r>
      <w:r w:rsidRPr="00DF1A2E">
        <w:rPr>
          <w:rStyle w:val="Hyperlink"/>
          <w:sz w:val="32"/>
          <w:szCs w:val="32"/>
        </w:rPr>
        <w:t xml:space="preserve">3- </w:t>
      </w:r>
      <w:r w:rsidRPr="00DF1A2E">
        <w:rPr>
          <w:rStyle w:val="Hyperlink"/>
          <w:sz w:val="32"/>
          <w:szCs w:val="32"/>
          <w:rtl/>
        </w:rPr>
        <w:t>ان للشركة ذات المسئولية المحدودة ذمة مالية مستقلة ومنفصلة عن ذمم الشركاء فيها ويقتصر ضمان دائني الشركة على ذمتها المالية دون ذمم الشركاء</w:t>
      </w:r>
      <w:r w:rsidRPr="00DF1A2E">
        <w:rPr>
          <w:rStyle w:val="Hyperlink"/>
          <w:sz w:val="32"/>
          <w:szCs w:val="32"/>
        </w:rPr>
        <w:t>.</w:t>
      </w:r>
      <w:r w:rsidRPr="00DF1A2E">
        <w:rPr>
          <w:sz w:val="32"/>
          <w:szCs w:val="32"/>
        </w:rPr>
        <w:fldChar w:fldCharType="end"/>
      </w:r>
      <w:r w:rsidRPr="00DF1A2E">
        <w:rPr>
          <w:sz w:val="32"/>
          <w:szCs w:val="32"/>
        </w:rPr>
        <w:br/>
      </w:r>
      <w:r w:rsidRPr="00DF1A2E">
        <w:rPr>
          <w:sz w:val="32"/>
          <w:szCs w:val="32"/>
        </w:rPr>
        <w:br/>
      </w:r>
      <w:r w:rsidRPr="00DF1A2E">
        <w:rPr>
          <w:sz w:val="32"/>
          <w:szCs w:val="32"/>
          <w:u w:val="single"/>
          <w:rtl/>
        </w:rPr>
        <w:t>ملاحظة</w:t>
      </w:r>
      <w:r w:rsidRPr="00DF1A2E">
        <w:rPr>
          <w:sz w:val="32"/>
          <w:szCs w:val="32"/>
          <w:u w:val="single"/>
        </w:rPr>
        <w:t xml:space="preserve"> :</w:t>
      </w:r>
      <w:r w:rsidRPr="00DF1A2E">
        <w:rPr>
          <w:sz w:val="32"/>
          <w:szCs w:val="32"/>
        </w:rPr>
        <w:br/>
      </w:r>
      <w:r w:rsidRPr="00DF1A2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F1A2E" w:rsidRPr="00DF1A2E" w:rsidRDefault="00DF1A2E" w:rsidP="00DF1A2E">
      <w:pPr>
        <w:rPr>
          <w:sz w:val="32"/>
          <w:szCs w:val="32"/>
        </w:rPr>
      </w:pPr>
      <w:bookmarkStart w:id="6" w:name="Anchor57"/>
      <w:bookmarkEnd w:id="6"/>
      <w:r w:rsidRPr="00DF1A2E">
        <w:rPr>
          <w:b/>
          <w:bCs/>
          <w:sz w:val="32"/>
          <w:szCs w:val="32"/>
          <w:rtl/>
        </w:rPr>
        <w:t>المحكمة</w:t>
      </w:r>
    </w:p>
    <w:p w:rsidR="00DF1A2E" w:rsidRPr="00DF1A2E" w:rsidRDefault="00DF1A2E" w:rsidP="00DF1A2E">
      <w:pPr>
        <w:rPr>
          <w:sz w:val="32"/>
          <w:szCs w:val="32"/>
        </w:rPr>
      </w:pPr>
      <w:bookmarkStart w:id="7" w:name="Anchor58"/>
      <w:bookmarkEnd w:id="7"/>
      <w:r w:rsidRPr="00DF1A2E">
        <w:rPr>
          <w:sz w:val="32"/>
          <w:szCs w:val="32"/>
          <w:rtl/>
        </w:rPr>
        <w:t>بعـد الاطلاع على الأوراق والمداولـة</w:t>
      </w:r>
      <w:r w:rsidRPr="00DF1A2E">
        <w:rPr>
          <w:sz w:val="32"/>
          <w:szCs w:val="32"/>
        </w:rPr>
        <w:t>.</w:t>
      </w:r>
    </w:p>
    <w:p w:rsidR="00DF1A2E" w:rsidRPr="00DF1A2E" w:rsidRDefault="00DF1A2E" w:rsidP="00DF1A2E">
      <w:pPr>
        <w:rPr>
          <w:sz w:val="32"/>
          <w:szCs w:val="32"/>
        </w:rPr>
      </w:pPr>
      <w:bookmarkStart w:id="8" w:name="Anchor62"/>
      <w:bookmarkStart w:id="9" w:name="TM2014_2200_1"/>
      <w:bookmarkEnd w:id="8"/>
      <w:bookmarkEnd w:id="9"/>
      <w:r w:rsidRPr="00DF1A2E">
        <w:rPr>
          <w:b/>
          <w:bCs/>
          <w:sz w:val="32"/>
          <w:szCs w:val="32"/>
          <w:rtl/>
        </w:rPr>
        <w:t xml:space="preserve">لما كان لمحكمة الموضوع سلطة تحصيل وفهم الواقع في الدعوى وبحث ما يقدم فيها من الدلائل والمستندات وموازنتها وترجيح ما تطمئن إليه منها </w:t>
      </w:r>
    </w:p>
    <w:p w:rsidR="00DF1A2E" w:rsidRPr="00DF1A2E" w:rsidRDefault="00DF1A2E" w:rsidP="00DF1A2E">
      <w:pPr>
        <w:rPr>
          <w:sz w:val="32"/>
          <w:szCs w:val="32"/>
        </w:rPr>
      </w:pPr>
      <w:bookmarkStart w:id="10" w:name="Anchor76"/>
      <w:bookmarkStart w:id="11" w:name="TM2014_2200_2"/>
      <w:bookmarkEnd w:id="10"/>
      <w:bookmarkEnd w:id="11"/>
      <w:r w:rsidRPr="00DF1A2E">
        <w:rPr>
          <w:b/>
          <w:bCs/>
          <w:sz w:val="32"/>
          <w:szCs w:val="32"/>
          <w:rtl/>
        </w:rPr>
        <w:t xml:space="preserve">ولها الأخذ بتقرير الخبير المنتدب في الدعوى متى اطمأنت إليه واقتنعت به وهي غير ملزمة من بعد بالرد على الطعون الموجهة إليه </w:t>
      </w:r>
    </w:p>
    <w:p w:rsidR="00DF1A2E" w:rsidRPr="00DF1A2E" w:rsidRDefault="00DF1A2E" w:rsidP="00DF1A2E">
      <w:pPr>
        <w:rPr>
          <w:sz w:val="32"/>
          <w:szCs w:val="32"/>
        </w:rPr>
      </w:pPr>
      <w:bookmarkStart w:id="12" w:name="Anchor88"/>
      <w:bookmarkStart w:id="13" w:name="TM2014_2200_3"/>
      <w:bookmarkEnd w:id="12"/>
      <w:bookmarkEnd w:id="13"/>
      <w:r w:rsidRPr="00DF1A2E">
        <w:rPr>
          <w:b/>
          <w:bCs/>
          <w:sz w:val="32"/>
          <w:szCs w:val="32"/>
          <w:rtl/>
        </w:rPr>
        <w:t>وأن الشركة ذات المسئولية المحدودة تتألف من عدد من الأشخاص لا يزيد على الثلاثين ولا يكون كل منهم مسئولاً إلا بقدر حصته في رأس المال، وتثبت لها شخصيتها المعنوية مستقلة عن أشخاص الشركاء فيها ومن مقتضي ذلك أن تكون لها ذمة مالية مستقلة ومنفصلة عن ذمم الشركاء فيها ويكون ضمان دائني هذه الشركة يقتصر على ذمتها المالية دون ذمم الشركاء</w:t>
      </w:r>
      <w:r w:rsidRPr="00DF1A2E">
        <w:rPr>
          <w:b/>
          <w:bCs/>
          <w:sz w:val="32"/>
          <w:szCs w:val="32"/>
        </w:rPr>
        <w:t>.</w:t>
      </w:r>
    </w:p>
    <w:p w:rsidR="00DF1A2E" w:rsidRPr="00DF1A2E" w:rsidRDefault="00DF1A2E" w:rsidP="00DF1A2E">
      <w:pPr>
        <w:rPr>
          <w:sz w:val="32"/>
          <w:szCs w:val="32"/>
        </w:rPr>
      </w:pPr>
      <w:bookmarkStart w:id="14" w:name="Anchor120"/>
      <w:bookmarkEnd w:id="14"/>
      <w:r w:rsidRPr="00DF1A2E">
        <w:rPr>
          <w:sz w:val="32"/>
          <w:szCs w:val="32"/>
          <w:rtl/>
        </w:rPr>
        <w:t xml:space="preserve">وكان الحكم المطعون فيه المؤيد والمكمل للحكم الابتدائي قد أقام قضاءه برفض الدعوى على ما خلص إليه من أوراقها وتقرير الخبير الذي اطمأنت إليه من أن </w:t>
      </w:r>
      <w:r w:rsidRPr="00DF1A2E">
        <w:rPr>
          <w:sz w:val="32"/>
          <w:szCs w:val="32"/>
          <w:rtl/>
        </w:rPr>
        <w:lastRenderedPageBreak/>
        <w:t xml:space="preserve">طلب الحجز قد تضمن كافة البيانات التي أوجبها القانون والتي يتم التعرف من خلالها على الحاجز والمحجوز عليه وموطنهما وأنه صدر الحكم في الاستئناف رقم 462لسنة2011 يؤدي ذمة الشركة الطاعنة فيما يزيد عن مبلغ </w:t>
      </w:r>
      <w:r w:rsidRPr="00DF1A2E">
        <w:rPr>
          <w:sz w:val="32"/>
          <w:szCs w:val="32"/>
        </w:rPr>
        <w:t xml:space="preserve">9.634.619.424 </w:t>
      </w:r>
      <w:r w:rsidRPr="00DF1A2E">
        <w:rPr>
          <w:sz w:val="32"/>
          <w:szCs w:val="32"/>
          <w:rtl/>
        </w:rPr>
        <w:t>د.ك وخلصت من ذلك إلى أن الدين قد تحدد مقداره وانتهت المنازعة الجدية بشأنه بما تلتزم الشركة الطاعنة بإدائه بما لها شخصية معنوية ومستقله وذمة مالية منفصلة عن ذمم الشركاء فيها ومنها الشركة المشاركة في تأسيسها وهي شركة العقيلة للإجارة والتمويل والاستثمار وأن الشركة الطاعنة لا تستفيد من طلب إعادة الهيكلة التي قدمته الشركة الأخيرة. وإذ كان ما خلص إليه الحكم سائغاً وله أصله الثابت بالأوراق ويكفي لحمل قضاءه ومن شأنه أن يؤدي إلى النتيجة التي خلص إليها فإن ما تنعاه الطاعنة بأسباب الطعن لا تعدو أن تكون جدلاً فيما لمحكمة الموضوع من سلطة في فهم الواقع في الدعوى غير مقبول ويضحى الطعن وقد أقيم على غير الأسباب المبينة بالمادة 152 من قانون المرافعات تقرر معه المحكمة عدم قبوله عملاً بالمادة 154/5 من ذات القانون</w:t>
      </w:r>
      <w:r w:rsidRPr="00DF1A2E">
        <w:rPr>
          <w:sz w:val="32"/>
          <w:szCs w:val="32"/>
        </w:rPr>
        <w:t>.</w:t>
      </w:r>
    </w:p>
    <w:p w:rsidR="00DF1A2E" w:rsidRPr="00DF1A2E" w:rsidRDefault="00DF1A2E" w:rsidP="00DF1A2E">
      <w:pPr>
        <w:rPr>
          <w:sz w:val="32"/>
          <w:szCs w:val="32"/>
        </w:rPr>
      </w:pPr>
      <w:bookmarkStart w:id="15" w:name="Anchor223"/>
      <w:bookmarkEnd w:id="15"/>
      <w:r w:rsidRPr="00DF1A2E">
        <w:rPr>
          <w:sz w:val="32"/>
          <w:szCs w:val="32"/>
          <w:rtl/>
        </w:rPr>
        <w:t>لـــذلك</w:t>
      </w:r>
    </w:p>
    <w:p w:rsidR="00DF1A2E" w:rsidRPr="00DF1A2E" w:rsidRDefault="00DF1A2E" w:rsidP="00DF1A2E">
      <w:pPr>
        <w:rPr>
          <w:sz w:val="32"/>
          <w:szCs w:val="32"/>
        </w:rPr>
      </w:pPr>
      <w:bookmarkStart w:id="16" w:name="Anchor224"/>
      <w:bookmarkEnd w:id="16"/>
      <w:r w:rsidRPr="00DF1A2E">
        <w:rPr>
          <w:sz w:val="32"/>
          <w:szCs w:val="32"/>
          <w:rtl/>
        </w:rPr>
        <w:t xml:space="preserve">قررت المحكمة </w:t>
      </w:r>
      <w:r w:rsidRPr="00DF1A2E">
        <w:rPr>
          <w:sz w:val="32"/>
          <w:szCs w:val="32"/>
        </w:rPr>
        <w:t xml:space="preserve">– </w:t>
      </w:r>
      <w:r w:rsidRPr="00DF1A2E">
        <w:rPr>
          <w:sz w:val="32"/>
          <w:szCs w:val="32"/>
          <w:rtl/>
        </w:rPr>
        <w:t xml:space="preserve">في غرفة المشورة </w:t>
      </w:r>
      <w:r w:rsidRPr="00DF1A2E">
        <w:rPr>
          <w:sz w:val="32"/>
          <w:szCs w:val="32"/>
        </w:rPr>
        <w:t xml:space="preserve">– </w:t>
      </w:r>
      <w:r w:rsidRPr="00DF1A2E">
        <w:rPr>
          <w:sz w:val="32"/>
          <w:szCs w:val="32"/>
          <w:rtl/>
        </w:rPr>
        <w:t>عدم قبول الطعن وألزمت الطاعنة المصروفات وعشرين ديناراً مقابل أتعاب المحاماة مع مصادرة الكفالة</w:t>
      </w:r>
      <w:r w:rsidRPr="00DF1A2E">
        <w:rPr>
          <w:sz w:val="32"/>
          <w:szCs w:val="32"/>
        </w:rPr>
        <w:t>.</w:t>
      </w:r>
    </w:p>
    <w:p w:rsidR="00DF1A2E" w:rsidRPr="00DF1A2E" w:rsidRDefault="00DF1A2E" w:rsidP="00DF1A2E">
      <w:pPr>
        <w:rPr>
          <w:sz w:val="32"/>
          <w:szCs w:val="32"/>
        </w:rPr>
      </w:pPr>
    </w:p>
    <w:p w:rsidR="00DF1A2E" w:rsidRPr="00DF1A2E" w:rsidRDefault="00DF1A2E" w:rsidP="00DF1A2E">
      <w:pPr>
        <w:rPr>
          <w:sz w:val="32"/>
          <w:szCs w:val="32"/>
        </w:rPr>
      </w:pPr>
      <w:bookmarkStart w:id="17" w:name="Anchor241"/>
      <w:bookmarkEnd w:id="17"/>
      <w:r w:rsidRPr="00DF1A2E">
        <w:rPr>
          <w:sz w:val="32"/>
          <w:szCs w:val="32"/>
        </w:rPr>
        <w:t>* * *</w:t>
      </w:r>
    </w:p>
    <w:p w:rsidR="008C2BA0" w:rsidRPr="00DF1A2E" w:rsidRDefault="008C2BA0">
      <w:pPr>
        <w:rPr>
          <w:sz w:val="32"/>
          <w:szCs w:val="32"/>
        </w:rPr>
      </w:pPr>
    </w:p>
    <w:sectPr w:rsidR="008C2BA0" w:rsidRPr="00DF1A2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5E"/>
    <w:rsid w:val="0003272B"/>
    <w:rsid w:val="00200B5E"/>
    <w:rsid w:val="008C2BA0"/>
    <w:rsid w:val="00DF1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A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A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82677">
      <w:bodyDiv w:val="1"/>
      <w:marLeft w:val="0"/>
      <w:marRight w:val="0"/>
      <w:marTop w:val="0"/>
      <w:marBottom w:val="0"/>
      <w:divBdr>
        <w:top w:val="none" w:sz="0" w:space="0" w:color="auto"/>
        <w:left w:val="none" w:sz="0" w:space="0" w:color="auto"/>
        <w:bottom w:val="none" w:sz="0" w:space="0" w:color="auto"/>
        <w:right w:val="none" w:sz="0" w:space="0" w:color="auto"/>
      </w:divBdr>
      <w:divsChild>
        <w:div w:id="854073167">
          <w:marLeft w:val="0"/>
          <w:marRight w:val="0"/>
          <w:marTop w:val="0"/>
          <w:marBottom w:val="0"/>
          <w:divBdr>
            <w:top w:val="none" w:sz="0" w:space="0" w:color="auto"/>
            <w:left w:val="none" w:sz="0" w:space="0" w:color="auto"/>
            <w:bottom w:val="none" w:sz="0" w:space="0" w:color="auto"/>
            <w:right w:val="none" w:sz="0" w:space="0" w:color="auto"/>
          </w:divBdr>
        </w:div>
        <w:div w:id="570964824">
          <w:marLeft w:val="0"/>
          <w:marRight w:val="0"/>
          <w:marTop w:val="0"/>
          <w:marBottom w:val="0"/>
          <w:divBdr>
            <w:top w:val="none" w:sz="0" w:space="0" w:color="auto"/>
            <w:left w:val="none" w:sz="0" w:space="0" w:color="auto"/>
            <w:bottom w:val="none" w:sz="0" w:space="0" w:color="auto"/>
            <w:right w:val="none" w:sz="0" w:space="0" w:color="auto"/>
          </w:divBdr>
        </w:div>
        <w:div w:id="867333715">
          <w:marLeft w:val="0"/>
          <w:marRight w:val="0"/>
          <w:marTop w:val="0"/>
          <w:marBottom w:val="0"/>
          <w:divBdr>
            <w:top w:val="none" w:sz="0" w:space="0" w:color="auto"/>
            <w:left w:val="none" w:sz="0" w:space="0" w:color="auto"/>
            <w:bottom w:val="none" w:sz="0" w:space="0" w:color="auto"/>
            <w:right w:val="none" w:sz="0" w:space="0" w:color="auto"/>
          </w:divBdr>
        </w:div>
        <w:div w:id="1824344768">
          <w:marLeft w:val="0"/>
          <w:marRight w:val="0"/>
          <w:marTop w:val="0"/>
          <w:marBottom w:val="0"/>
          <w:divBdr>
            <w:top w:val="none" w:sz="0" w:space="0" w:color="auto"/>
            <w:left w:val="none" w:sz="0" w:space="0" w:color="auto"/>
            <w:bottom w:val="none" w:sz="0" w:space="0" w:color="auto"/>
            <w:right w:val="none" w:sz="0" w:space="0" w:color="auto"/>
          </w:divBdr>
        </w:div>
        <w:div w:id="944505221">
          <w:marLeft w:val="0"/>
          <w:marRight w:val="0"/>
          <w:marTop w:val="0"/>
          <w:marBottom w:val="0"/>
          <w:divBdr>
            <w:top w:val="none" w:sz="0" w:space="0" w:color="auto"/>
            <w:left w:val="none" w:sz="0" w:space="0" w:color="auto"/>
            <w:bottom w:val="none" w:sz="0" w:space="0" w:color="auto"/>
            <w:right w:val="none" w:sz="0" w:space="0" w:color="auto"/>
          </w:divBdr>
        </w:div>
        <w:div w:id="1644038030">
          <w:marLeft w:val="0"/>
          <w:marRight w:val="0"/>
          <w:marTop w:val="0"/>
          <w:marBottom w:val="0"/>
          <w:divBdr>
            <w:top w:val="none" w:sz="0" w:space="0" w:color="auto"/>
            <w:left w:val="none" w:sz="0" w:space="0" w:color="auto"/>
            <w:bottom w:val="none" w:sz="0" w:space="0" w:color="auto"/>
            <w:right w:val="none" w:sz="0" w:space="0" w:color="auto"/>
          </w:divBdr>
        </w:div>
        <w:div w:id="1242525285">
          <w:marLeft w:val="0"/>
          <w:marRight w:val="0"/>
          <w:marTop w:val="0"/>
          <w:marBottom w:val="0"/>
          <w:divBdr>
            <w:top w:val="none" w:sz="0" w:space="0" w:color="auto"/>
            <w:left w:val="none" w:sz="0" w:space="0" w:color="auto"/>
            <w:bottom w:val="none" w:sz="0" w:space="0" w:color="auto"/>
            <w:right w:val="none" w:sz="0" w:space="0" w:color="auto"/>
          </w:divBdr>
        </w:div>
        <w:div w:id="937831378">
          <w:marLeft w:val="0"/>
          <w:marRight w:val="0"/>
          <w:marTop w:val="0"/>
          <w:marBottom w:val="0"/>
          <w:divBdr>
            <w:top w:val="none" w:sz="0" w:space="0" w:color="auto"/>
            <w:left w:val="none" w:sz="0" w:space="0" w:color="auto"/>
            <w:bottom w:val="none" w:sz="0" w:space="0" w:color="auto"/>
            <w:right w:val="none" w:sz="0" w:space="0" w:color="auto"/>
          </w:divBdr>
        </w:div>
        <w:div w:id="793064006">
          <w:marLeft w:val="0"/>
          <w:marRight w:val="0"/>
          <w:marTop w:val="0"/>
          <w:marBottom w:val="0"/>
          <w:divBdr>
            <w:top w:val="none" w:sz="0" w:space="0" w:color="auto"/>
            <w:left w:val="none" w:sz="0" w:space="0" w:color="auto"/>
            <w:bottom w:val="none" w:sz="0" w:space="0" w:color="auto"/>
            <w:right w:val="none" w:sz="0" w:space="0" w:color="auto"/>
          </w:divBdr>
        </w:div>
        <w:div w:id="1011417891">
          <w:marLeft w:val="0"/>
          <w:marRight w:val="0"/>
          <w:marTop w:val="0"/>
          <w:marBottom w:val="0"/>
          <w:divBdr>
            <w:top w:val="none" w:sz="0" w:space="0" w:color="auto"/>
            <w:left w:val="none" w:sz="0" w:space="0" w:color="auto"/>
            <w:bottom w:val="none" w:sz="0" w:space="0" w:color="auto"/>
            <w:right w:val="none" w:sz="0" w:space="0" w:color="auto"/>
          </w:divBdr>
        </w:div>
        <w:div w:id="1542011911">
          <w:marLeft w:val="0"/>
          <w:marRight w:val="0"/>
          <w:marTop w:val="0"/>
          <w:marBottom w:val="0"/>
          <w:divBdr>
            <w:top w:val="none" w:sz="0" w:space="0" w:color="auto"/>
            <w:left w:val="none" w:sz="0" w:space="0" w:color="auto"/>
            <w:bottom w:val="none" w:sz="0" w:space="0" w:color="auto"/>
            <w:right w:val="none" w:sz="0" w:space="0" w:color="auto"/>
          </w:divBdr>
        </w:div>
        <w:div w:id="1976107109">
          <w:marLeft w:val="0"/>
          <w:marRight w:val="0"/>
          <w:marTop w:val="0"/>
          <w:marBottom w:val="0"/>
          <w:divBdr>
            <w:top w:val="none" w:sz="0" w:space="0" w:color="auto"/>
            <w:left w:val="none" w:sz="0" w:space="0" w:color="auto"/>
            <w:bottom w:val="none" w:sz="0" w:space="0" w:color="auto"/>
            <w:right w:val="none" w:sz="0" w:space="0" w:color="auto"/>
          </w:divBdr>
        </w:div>
        <w:div w:id="849565848">
          <w:marLeft w:val="0"/>
          <w:marRight w:val="0"/>
          <w:marTop w:val="0"/>
          <w:marBottom w:val="0"/>
          <w:divBdr>
            <w:top w:val="none" w:sz="0" w:space="0" w:color="auto"/>
            <w:left w:val="none" w:sz="0" w:space="0" w:color="auto"/>
            <w:bottom w:val="none" w:sz="0" w:space="0" w:color="auto"/>
            <w:right w:val="none" w:sz="0" w:space="0" w:color="auto"/>
          </w:divBdr>
        </w:div>
        <w:div w:id="1445687683">
          <w:marLeft w:val="0"/>
          <w:marRight w:val="0"/>
          <w:marTop w:val="0"/>
          <w:marBottom w:val="0"/>
          <w:divBdr>
            <w:top w:val="none" w:sz="0" w:space="0" w:color="auto"/>
            <w:left w:val="none" w:sz="0" w:space="0" w:color="auto"/>
            <w:bottom w:val="none" w:sz="0" w:space="0" w:color="auto"/>
            <w:right w:val="none" w:sz="0" w:space="0" w:color="auto"/>
          </w:divBdr>
        </w:div>
      </w:divsChild>
    </w:div>
    <w:div w:id="2048144790">
      <w:bodyDiv w:val="1"/>
      <w:marLeft w:val="0"/>
      <w:marRight w:val="0"/>
      <w:marTop w:val="0"/>
      <w:marBottom w:val="0"/>
      <w:divBdr>
        <w:top w:val="none" w:sz="0" w:space="0" w:color="auto"/>
        <w:left w:val="none" w:sz="0" w:space="0" w:color="auto"/>
        <w:bottom w:val="none" w:sz="0" w:space="0" w:color="auto"/>
        <w:right w:val="none" w:sz="0" w:space="0" w:color="auto"/>
      </w:divBdr>
      <w:divsChild>
        <w:div w:id="946086861">
          <w:marLeft w:val="0"/>
          <w:marRight w:val="0"/>
          <w:marTop w:val="0"/>
          <w:marBottom w:val="0"/>
          <w:divBdr>
            <w:top w:val="none" w:sz="0" w:space="0" w:color="auto"/>
            <w:left w:val="none" w:sz="0" w:space="0" w:color="auto"/>
            <w:bottom w:val="none" w:sz="0" w:space="0" w:color="auto"/>
            <w:right w:val="none" w:sz="0" w:space="0" w:color="auto"/>
          </w:divBdr>
        </w:div>
        <w:div w:id="1909850467">
          <w:marLeft w:val="0"/>
          <w:marRight w:val="0"/>
          <w:marTop w:val="0"/>
          <w:marBottom w:val="0"/>
          <w:divBdr>
            <w:top w:val="none" w:sz="0" w:space="0" w:color="auto"/>
            <w:left w:val="none" w:sz="0" w:space="0" w:color="auto"/>
            <w:bottom w:val="none" w:sz="0" w:space="0" w:color="auto"/>
            <w:right w:val="none" w:sz="0" w:space="0" w:color="auto"/>
          </w:divBdr>
        </w:div>
        <w:div w:id="863053035">
          <w:marLeft w:val="0"/>
          <w:marRight w:val="0"/>
          <w:marTop w:val="0"/>
          <w:marBottom w:val="0"/>
          <w:divBdr>
            <w:top w:val="none" w:sz="0" w:space="0" w:color="auto"/>
            <w:left w:val="none" w:sz="0" w:space="0" w:color="auto"/>
            <w:bottom w:val="none" w:sz="0" w:space="0" w:color="auto"/>
            <w:right w:val="none" w:sz="0" w:space="0" w:color="auto"/>
          </w:divBdr>
        </w:div>
        <w:div w:id="1665165966">
          <w:marLeft w:val="0"/>
          <w:marRight w:val="0"/>
          <w:marTop w:val="0"/>
          <w:marBottom w:val="0"/>
          <w:divBdr>
            <w:top w:val="none" w:sz="0" w:space="0" w:color="auto"/>
            <w:left w:val="none" w:sz="0" w:space="0" w:color="auto"/>
            <w:bottom w:val="none" w:sz="0" w:space="0" w:color="auto"/>
            <w:right w:val="none" w:sz="0" w:space="0" w:color="auto"/>
          </w:divBdr>
        </w:div>
        <w:div w:id="2008633362">
          <w:marLeft w:val="0"/>
          <w:marRight w:val="0"/>
          <w:marTop w:val="0"/>
          <w:marBottom w:val="0"/>
          <w:divBdr>
            <w:top w:val="none" w:sz="0" w:space="0" w:color="auto"/>
            <w:left w:val="none" w:sz="0" w:space="0" w:color="auto"/>
            <w:bottom w:val="none" w:sz="0" w:space="0" w:color="auto"/>
            <w:right w:val="none" w:sz="0" w:space="0" w:color="auto"/>
          </w:divBdr>
        </w:div>
        <w:div w:id="1961910367">
          <w:marLeft w:val="0"/>
          <w:marRight w:val="0"/>
          <w:marTop w:val="0"/>
          <w:marBottom w:val="0"/>
          <w:divBdr>
            <w:top w:val="none" w:sz="0" w:space="0" w:color="auto"/>
            <w:left w:val="none" w:sz="0" w:space="0" w:color="auto"/>
            <w:bottom w:val="none" w:sz="0" w:space="0" w:color="auto"/>
            <w:right w:val="none" w:sz="0" w:space="0" w:color="auto"/>
          </w:divBdr>
        </w:div>
        <w:div w:id="1056512643">
          <w:marLeft w:val="0"/>
          <w:marRight w:val="0"/>
          <w:marTop w:val="0"/>
          <w:marBottom w:val="0"/>
          <w:divBdr>
            <w:top w:val="none" w:sz="0" w:space="0" w:color="auto"/>
            <w:left w:val="none" w:sz="0" w:space="0" w:color="auto"/>
            <w:bottom w:val="none" w:sz="0" w:space="0" w:color="auto"/>
            <w:right w:val="none" w:sz="0" w:space="0" w:color="auto"/>
          </w:divBdr>
        </w:div>
        <w:div w:id="817843154">
          <w:marLeft w:val="0"/>
          <w:marRight w:val="0"/>
          <w:marTop w:val="0"/>
          <w:marBottom w:val="0"/>
          <w:divBdr>
            <w:top w:val="none" w:sz="0" w:space="0" w:color="auto"/>
            <w:left w:val="none" w:sz="0" w:space="0" w:color="auto"/>
            <w:bottom w:val="none" w:sz="0" w:space="0" w:color="auto"/>
            <w:right w:val="none" w:sz="0" w:space="0" w:color="auto"/>
          </w:divBdr>
        </w:div>
        <w:div w:id="1413235967">
          <w:marLeft w:val="0"/>
          <w:marRight w:val="0"/>
          <w:marTop w:val="0"/>
          <w:marBottom w:val="0"/>
          <w:divBdr>
            <w:top w:val="none" w:sz="0" w:space="0" w:color="auto"/>
            <w:left w:val="none" w:sz="0" w:space="0" w:color="auto"/>
            <w:bottom w:val="none" w:sz="0" w:space="0" w:color="auto"/>
            <w:right w:val="none" w:sz="0" w:space="0" w:color="auto"/>
          </w:divBdr>
        </w:div>
        <w:div w:id="2049059561">
          <w:marLeft w:val="0"/>
          <w:marRight w:val="0"/>
          <w:marTop w:val="0"/>
          <w:marBottom w:val="0"/>
          <w:divBdr>
            <w:top w:val="none" w:sz="0" w:space="0" w:color="auto"/>
            <w:left w:val="none" w:sz="0" w:space="0" w:color="auto"/>
            <w:bottom w:val="none" w:sz="0" w:space="0" w:color="auto"/>
            <w:right w:val="none" w:sz="0" w:space="0" w:color="auto"/>
          </w:divBdr>
        </w:div>
        <w:div w:id="1311902111">
          <w:marLeft w:val="0"/>
          <w:marRight w:val="0"/>
          <w:marTop w:val="0"/>
          <w:marBottom w:val="0"/>
          <w:divBdr>
            <w:top w:val="none" w:sz="0" w:space="0" w:color="auto"/>
            <w:left w:val="none" w:sz="0" w:space="0" w:color="auto"/>
            <w:bottom w:val="none" w:sz="0" w:space="0" w:color="auto"/>
            <w:right w:val="none" w:sz="0" w:space="0" w:color="auto"/>
          </w:divBdr>
        </w:div>
        <w:div w:id="784664075">
          <w:marLeft w:val="0"/>
          <w:marRight w:val="0"/>
          <w:marTop w:val="0"/>
          <w:marBottom w:val="0"/>
          <w:divBdr>
            <w:top w:val="none" w:sz="0" w:space="0" w:color="auto"/>
            <w:left w:val="none" w:sz="0" w:space="0" w:color="auto"/>
            <w:bottom w:val="none" w:sz="0" w:space="0" w:color="auto"/>
            <w:right w:val="none" w:sz="0" w:space="0" w:color="auto"/>
          </w:divBdr>
        </w:div>
        <w:div w:id="1855994142">
          <w:marLeft w:val="0"/>
          <w:marRight w:val="0"/>
          <w:marTop w:val="0"/>
          <w:marBottom w:val="0"/>
          <w:divBdr>
            <w:top w:val="none" w:sz="0" w:space="0" w:color="auto"/>
            <w:left w:val="none" w:sz="0" w:space="0" w:color="auto"/>
            <w:bottom w:val="none" w:sz="0" w:space="0" w:color="auto"/>
            <w:right w:val="none" w:sz="0" w:space="0" w:color="auto"/>
          </w:divBdr>
        </w:div>
        <w:div w:id="129455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2020-04-26T11:20:00Z</dcterms:created>
  <dcterms:modified xsi:type="dcterms:W3CDTF">2020-04-26T11:20:00Z</dcterms:modified>
</cp:coreProperties>
</file>