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908" w:rsidRPr="003F4908" w:rsidRDefault="003F4908" w:rsidP="003F4908">
      <w:pPr>
        <w:jc w:val="center"/>
        <w:rPr>
          <w:sz w:val="32"/>
          <w:szCs w:val="32"/>
        </w:rPr>
      </w:pPr>
      <w:bookmarkStart w:id="0" w:name="Anchor1"/>
      <w:bookmarkEnd w:id="0"/>
      <w:r w:rsidRPr="003F4908">
        <w:rPr>
          <w:sz w:val="32"/>
          <w:szCs w:val="32"/>
          <w:rtl/>
        </w:rPr>
        <w:t xml:space="preserve">الطعن رقم </w:t>
      </w:r>
      <w:r w:rsidRPr="003F4908">
        <w:rPr>
          <w:sz w:val="32"/>
          <w:szCs w:val="32"/>
        </w:rPr>
        <w:t>2</w:t>
      </w:r>
      <w:bookmarkStart w:id="1" w:name="_GoBack"/>
      <w:bookmarkEnd w:id="1"/>
      <w:r w:rsidRPr="003F4908">
        <w:rPr>
          <w:sz w:val="32"/>
          <w:szCs w:val="32"/>
        </w:rPr>
        <w:t>307/2013</w:t>
      </w:r>
    </w:p>
    <w:p w:rsidR="003F4908" w:rsidRPr="003F4908" w:rsidRDefault="003F4908" w:rsidP="003F4908">
      <w:pPr>
        <w:rPr>
          <w:sz w:val="32"/>
          <w:szCs w:val="32"/>
        </w:rPr>
      </w:pPr>
      <w:bookmarkStart w:id="2" w:name="Anchor7"/>
      <w:bookmarkEnd w:id="2"/>
      <w:r w:rsidRPr="003F4908">
        <w:rPr>
          <w:sz w:val="32"/>
          <w:szCs w:val="32"/>
          <w:rtl/>
        </w:rPr>
        <w:t>هيئة المحكمة</w:t>
      </w:r>
      <w:r w:rsidRPr="003F4908">
        <w:rPr>
          <w:sz w:val="32"/>
          <w:szCs w:val="32"/>
        </w:rPr>
        <w:t xml:space="preserve">: </w:t>
      </w:r>
      <w:r w:rsidRPr="003F4908">
        <w:rPr>
          <w:b/>
          <w:bCs/>
          <w:sz w:val="32"/>
          <w:szCs w:val="32"/>
          <w:rtl/>
        </w:rPr>
        <w:t>برئاسة السيد المستشار</w:t>
      </w:r>
      <w:r w:rsidRPr="003F4908">
        <w:rPr>
          <w:sz w:val="32"/>
          <w:szCs w:val="32"/>
          <w:rtl/>
        </w:rPr>
        <w:t xml:space="preserve"> خالد المزيني وكيل المحكمة</w:t>
      </w:r>
      <w:r w:rsidRPr="003F4908">
        <w:rPr>
          <w:b/>
          <w:bCs/>
          <w:sz w:val="32"/>
          <w:szCs w:val="32"/>
          <w:rtl/>
        </w:rPr>
        <w:t xml:space="preserve"> وعضوية السادة المستشارين</w:t>
      </w:r>
      <w:r w:rsidRPr="003F4908">
        <w:rPr>
          <w:sz w:val="32"/>
          <w:szCs w:val="32"/>
          <w:rtl/>
        </w:rPr>
        <w:t xml:space="preserve"> عبد الهادي الجفين وصلاح الدين كامل وأمين طموم وعلي مرغني</w:t>
      </w:r>
    </w:p>
    <w:bookmarkStart w:id="3" w:name="Anchor27"/>
    <w:bookmarkEnd w:id="3"/>
    <w:p w:rsidR="003F4908" w:rsidRPr="003F4908" w:rsidRDefault="003F4908" w:rsidP="003F4908">
      <w:pPr>
        <w:rPr>
          <w:sz w:val="32"/>
          <w:szCs w:val="32"/>
        </w:rPr>
      </w:pPr>
      <w:r w:rsidRPr="003F4908">
        <w:rPr>
          <w:sz w:val="32"/>
          <w:szCs w:val="32"/>
        </w:rPr>
        <w:fldChar w:fldCharType="begin"/>
      </w:r>
      <w:r w:rsidRPr="003F4908">
        <w:rPr>
          <w:sz w:val="32"/>
          <w:szCs w:val="32"/>
        </w:rPr>
        <w:instrText xml:space="preserve"> HYPERLINK "http://www.law.gov.kw/KWT_CC-Ar/00_2014/00_%D8%A7%D9%84%D8%AF%D8%A7%D8%A6%D8%B1%D8%A9%20%D8%A7%D9%84%D8%AA%D8%AC%D8%A7%D8%B1%D9%8A%D8%A9/KWT-CC-Ar_2014-11-12_02307_Taan.html" \l "TM2014_2307_1" </w:instrText>
      </w:r>
      <w:r w:rsidRPr="003F4908">
        <w:rPr>
          <w:sz w:val="32"/>
          <w:szCs w:val="32"/>
        </w:rPr>
        <w:fldChar w:fldCharType="separate"/>
      </w:r>
      <w:r w:rsidRPr="003F4908">
        <w:rPr>
          <w:rStyle w:val="Hyperlink"/>
          <w:sz w:val="32"/>
          <w:szCs w:val="32"/>
        </w:rPr>
        <w:t xml:space="preserve">1 – </w:t>
      </w:r>
      <w:r w:rsidRPr="003F4908">
        <w:rPr>
          <w:rStyle w:val="Hyperlink"/>
          <w:sz w:val="32"/>
          <w:szCs w:val="32"/>
          <w:rtl/>
        </w:rPr>
        <w:t>ان لمحكمة الموضوع سلطة تحصيل وفهم الواقع في الدعوى وتقدير الأدلة</w:t>
      </w:r>
      <w:r w:rsidRPr="003F4908">
        <w:rPr>
          <w:rStyle w:val="Hyperlink"/>
          <w:sz w:val="32"/>
          <w:szCs w:val="32"/>
        </w:rPr>
        <w:t>.</w:t>
      </w:r>
      <w:r w:rsidRPr="003F4908">
        <w:rPr>
          <w:sz w:val="32"/>
          <w:szCs w:val="32"/>
        </w:rPr>
        <w:fldChar w:fldCharType="end"/>
      </w:r>
    </w:p>
    <w:bookmarkStart w:id="4" w:name="Anchor36"/>
    <w:bookmarkEnd w:id="4"/>
    <w:p w:rsidR="003F4908" w:rsidRPr="003F4908" w:rsidRDefault="003F4908" w:rsidP="003F4908">
      <w:pPr>
        <w:rPr>
          <w:sz w:val="32"/>
          <w:szCs w:val="32"/>
        </w:rPr>
      </w:pPr>
      <w:r w:rsidRPr="003F4908">
        <w:rPr>
          <w:sz w:val="32"/>
          <w:szCs w:val="32"/>
        </w:rPr>
        <w:fldChar w:fldCharType="begin"/>
      </w:r>
      <w:r w:rsidRPr="003F4908">
        <w:rPr>
          <w:sz w:val="32"/>
          <w:szCs w:val="32"/>
        </w:rPr>
        <w:instrText xml:space="preserve"> HYPERLINK "http://www.law.gov.kw/KWT_CC-Ar/00_2014/00_%D8%A7%D9%84%D8%AF%D8%A7%D8%A6%D8%B1%D8%A9%20%D8%A7%D9%84%D8%AA%D8%AC%D8%A7%D8%B1%D9%8A%D8%A9/KWT-CC-Ar_2014-11-12_02307_Taan.html" \l "TM2014_2307_2" </w:instrText>
      </w:r>
      <w:r w:rsidRPr="003F4908">
        <w:rPr>
          <w:sz w:val="32"/>
          <w:szCs w:val="32"/>
        </w:rPr>
        <w:fldChar w:fldCharType="separate"/>
      </w:r>
      <w:r w:rsidRPr="003F4908">
        <w:rPr>
          <w:rStyle w:val="Hyperlink"/>
          <w:sz w:val="32"/>
          <w:szCs w:val="32"/>
        </w:rPr>
        <w:t xml:space="preserve">2 – </w:t>
      </w:r>
      <w:r w:rsidRPr="003F4908">
        <w:rPr>
          <w:rStyle w:val="Hyperlink"/>
          <w:sz w:val="32"/>
          <w:szCs w:val="32"/>
          <w:rtl/>
        </w:rPr>
        <w:t>إن ادارة الكتاب في المحكمة تلتزم بحجية الحكم الصادر من المحكمة في تحصيل الرسوم المستحقة على الخصم والتي ألزمته المحكمة بها في حال اقام دعوى فرعية امام المحكمة خلال نظرها دعوى اخرى</w:t>
      </w:r>
      <w:r w:rsidRPr="003F4908">
        <w:rPr>
          <w:rStyle w:val="Hyperlink"/>
          <w:sz w:val="32"/>
          <w:szCs w:val="32"/>
        </w:rPr>
        <w:t>.</w:t>
      </w:r>
      <w:r w:rsidRPr="003F4908">
        <w:rPr>
          <w:sz w:val="32"/>
          <w:szCs w:val="32"/>
        </w:rPr>
        <w:fldChar w:fldCharType="end"/>
      </w:r>
    </w:p>
    <w:bookmarkStart w:id="5" w:name="Anchor53"/>
    <w:bookmarkEnd w:id="5"/>
    <w:p w:rsidR="003F4908" w:rsidRPr="003F4908" w:rsidRDefault="003F4908" w:rsidP="003F4908">
      <w:pPr>
        <w:rPr>
          <w:sz w:val="32"/>
          <w:szCs w:val="32"/>
        </w:rPr>
      </w:pPr>
      <w:r w:rsidRPr="003F4908">
        <w:rPr>
          <w:sz w:val="32"/>
          <w:szCs w:val="32"/>
        </w:rPr>
        <w:fldChar w:fldCharType="begin"/>
      </w:r>
      <w:r w:rsidRPr="003F4908">
        <w:rPr>
          <w:sz w:val="32"/>
          <w:szCs w:val="32"/>
        </w:rPr>
        <w:instrText xml:space="preserve"> HYPERLINK "http://www.law.gov.kw/KWT_CC-Ar/00_2014/00_%D8%A7%D9%84%D8%AF%D8%A7%D8%A6%D8%B1%D8%A9%20%D8%A7%D9%84%D8%AA%D8%AC%D8%A7%D8%B1%D9%8A%D8%A9/KWT-CC-Ar_2014-11-12_02307_Taan.html" \l "TM2014_2307_3" </w:instrText>
      </w:r>
      <w:r w:rsidRPr="003F4908">
        <w:rPr>
          <w:sz w:val="32"/>
          <w:szCs w:val="32"/>
        </w:rPr>
        <w:fldChar w:fldCharType="separate"/>
      </w:r>
      <w:r w:rsidRPr="003F4908">
        <w:rPr>
          <w:rStyle w:val="Hyperlink"/>
          <w:sz w:val="32"/>
          <w:szCs w:val="32"/>
        </w:rPr>
        <w:t xml:space="preserve">3 – </w:t>
      </w:r>
      <w:r w:rsidRPr="003F4908">
        <w:rPr>
          <w:rStyle w:val="Hyperlink"/>
          <w:sz w:val="32"/>
          <w:szCs w:val="32"/>
          <w:rtl/>
        </w:rPr>
        <w:t>ان اسباب الطعن بالتمييز يجب ان تتصل بالحكم المطعون فيه دون سواه والا كانت غير مقبولة</w:t>
      </w:r>
      <w:r w:rsidRPr="003F4908">
        <w:rPr>
          <w:rStyle w:val="Hyperlink"/>
          <w:sz w:val="32"/>
          <w:szCs w:val="32"/>
        </w:rPr>
        <w:t>.</w:t>
      </w:r>
      <w:r w:rsidRPr="003F4908">
        <w:rPr>
          <w:sz w:val="32"/>
          <w:szCs w:val="32"/>
        </w:rPr>
        <w:fldChar w:fldCharType="end"/>
      </w:r>
    </w:p>
    <w:bookmarkStart w:id="6" w:name="Anchor63"/>
    <w:bookmarkEnd w:id="6"/>
    <w:p w:rsidR="003F4908" w:rsidRPr="003F4908" w:rsidRDefault="003F4908" w:rsidP="003F4908">
      <w:pPr>
        <w:rPr>
          <w:sz w:val="32"/>
          <w:szCs w:val="32"/>
        </w:rPr>
      </w:pPr>
      <w:r w:rsidRPr="003F4908">
        <w:rPr>
          <w:sz w:val="32"/>
          <w:szCs w:val="32"/>
        </w:rPr>
        <w:fldChar w:fldCharType="begin"/>
      </w:r>
      <w:r w:rsidRPr="003F4908">
        <w:rPr>
          <w:sz w:val="32"/>
          <w:szCs w:val="32"/>
        </w:rPr>
        <w:instrText xml:space="preserve"> HYPERLINK "http://www.law.gov.kw/KWT_CC-Ar/00_2014/00_%D8%A7%D9%84%D8%AF%D8%A7%D8%A6%D8%B1%D8%A9%20%D8%A7%D9%84%D8%AA%D8%AC%D8%A7%D8%B1%D9%8A%D8%A9/KWT-CC-Ar_2014-11-12_02307_Taan.html" \l "TM2014_2307_4" </w:instrText>
      </w:r>
      <w:r w:rsidRPr="003F4908">
        <w:rPr>
          <w:sz w:val="32"/>
          <w:szCs w:val="32"/>
        </w:rPr>
        <w:fldChar w:fldCharType="separate"/>
      </w:r>
      <w:r w:rsidRPr="003F4908">
        <w:rPr>
          <w:rStyle w:val="Hyperlink"/>
          <w:sz w:val="32"/>
          <w:szCs w:val="32"/>
        </w:rPr>
        <w:t xml:space="preserve">4 – </w:t>
      </w:r>
      <w:r w:rsidRPr="003F4908">
        <w:rPr>
          <w:rStyle w:val="Hyperlink"/>
          <w:sz w:val="32"/>
          <w:szCs w:val="32"/>
          <w:rtl/>
        </w:rPr>
        <w:t>القضاء بتعديل امر تقدير الرسوم المتظلم منه بعد تقديم الخصم المطعون ضده دعوى فرعية أثناء النظر في الدعوى الاصلية وتقدير هذه الرسوم من تاريخ رفع الدعوى الفرعية</w:t>
      </w:r>
      <w:r w:rsidRPr="003F4908">
        <w:rPr>
          <w:rStyle w:val="Hyperlink"/>
          <w:sz w:val="32"/>
          <w:szCs w:val="32"/>
        </w:rPr>
        <w:t>.</w:t>
      </w:r>
      <w:r w:rsidRPr="003F4908">
        <w:rPr>
          <w:sz w:val="32"/>
          <w:szCs w:val="32"/>
        </w:rPr>
        <w:fldChar w:fldCharType="end"/>
      </w:r>
    </w:p>
    <w:bookmarkStart w:id="7" w:name="Anchor81"/>
    <w:bookmarkEnd w:id="7"/>
    <w:p w:rsidR="003F4908" w:rsidRPr="003F4908" w:rsidRDefault="003F4908" w:rsidP="003F4908">
      <w:pPr>
        <w:rPr>
          <w:sz w:val="32"/>
          <w:szCs w:val="32"/>
        </w:rPr>
      </w:pPr>
      <w:r w:rsidRPr="003F4908">
        <w:rPr>
          <w:sz w:val="32"/>
          <w:szCs w:val="32"/>
        </w:rPr>
        <w:fldChar w:fldCharType="begin"/>
      </w:r>
      <w:r w:rsidRPr="003F4908">
        <w:rPr>
          <w:sz w:val="32"/>
          <w:szCs w:val="32"/>
        </w:rPr>
        <w:instrText xml:space="preserve"> HYPERLINK "http://www.law.gov.kw/KWT_CC-Ar/00_2014/00_%D8%A7%D9%84%D8%AF%D8%A7%D8%A6%D8%B1%D8%A9%20%D8%A7%D9%84%D8%AA%D8%AC%D8%A7%D8%B1%D9%8A%D8%A9/KWT-CC-Ar_2014-11-12_02307_Taan.html" \l "TM2014_2307_5" </w:instrText>
      </w:r>
      <w:r w:rsidRPr="003F4908">
        <w:rPr>
          <w:sz w:val="32"/>
          <w:szCs w:val="32"/>
        </w:rPr>
        <w:fldChar w:fldCharType="separate"/>
      </w:r>
      <w:r w:rsidRPr="003F4908">
        <w:rPr>
          <w:rStyle w:val="Hyperlink"/>
          <w:sz w:val="32"/>
          <w:szCs w:val="32"/>
        </w:rPr>
        <w:t xml:space="preserve">5 – </w:t>
      </w:r>
      <w:r w:rsidRPr="003F4908">
        <w:rPr>
          <w:rStyle w:val="Hyperlink"/>
          <w:sz w:val="32"/>
          <w:szCs w:val="32"/>
          <w:rtl/>
        </w:rPr>
        <w:t>ان سبب الطعن بالتمييز الذي لا يصادف محلاً في قضاء الحكم المطعون فيه هو سبب غير مقبول</w:t>
      </w:r>
      <w:r w:rsidRPr="003F4908">
        <w:rPr>
          <w:rStyle w:val="Hyperlink"/>
          <w:sz w:val="32"/>
          <w:szCs w:val="32"/>
        </w:rPr>
        <w:t>.</w:t>
      </w:r>
      <w:r w:rsidRPr="003F4908">
        <w:rPr>
          <w:sz w:val="32"/>
          <w:szCs w:val="32"/>
        </w:rPr>
        <w:fldChar w:fldCharType="end"/>
      </w:r>
    </w:p>
    <w:bookmarkStart w:id="8" w:name="Anchor91"/>
    <w:bookmarkEnd w:id="8"/>
    <w:p w:rsidR="003F4908" w:rsidRPr="003F4908" w:rsidRDefault="003F4908" w:rsidP="003F4908">
      <w:pPr>
        <w:rPr>
          <w:sz w:val="32"/>
          <w:szCs w:val="32"/>
        </w:rPr>
      </w:pPr>
      <w:r w:rsidRPr="003F4908">
        <w:rPr>
          <w:sz w:val="32"/>
          <w:szCs w:val="32"/>
        </w:rPr>
        <w:fldChar w:fldCharType="begin"/>
      </w:r>
      <w:r w:rsidRPr="003F4908">
        <w:rPr>
          <w:sz w:val="32"/>
          <w:szCs w:val="32"/>
        </w:rPr>
        <w:instrText xml:space="preserve"> HYPERLINK "http://www.law.gov.kw/KWT_CC-Ar/00_2014/00_%D8%A7%D9%84%D8%AF%D8%A7%D8%A6%D8%B1%D8%A9%20%D8%A7%D9%84%D8%AA%D8%AC%D8%A7%D8%B1%D9%8A%D8%A9/KWT-CC-Ar_2014-11-12_02307_Taan.html" \l "TM2014_2307_6" </w:instrText>
      </w:r>
      <w:r w:rsidRPr="003F4908">
        <w:rPr>
          <w:sz w:val="32"/>
          <w:szCs w:val="32"/>
        </w:rPr>
        <w:fldChar w:fldCharType="separate"/>
      </w:r>
      <w:r w:rsidRPr="003F4908">
        <w:rPr>
          <w:rStyle w:val="Hyperlink"/>
          <w:sz w:val="32"/>
          <w:szCs w:val="32"/>
        </w:rPr>
        <w:t xml:space="preserve">6 – </w:t>
      </w:r>
      <w:r w:rsidRPr="003F4908">
        <w:rPr>
          <w:rStyle w:val="Hyperlink"/>
          <w:sz w:val="32"/>
          <w:szCs w:val="32"/>
          <w:rtl/>
        </w:rPr>
        <w:t>ان الجدل في فهم محكمة الموضوع لواقع الدعوى هو جدل موضوعي تنحسر عنه رقابة محكمة التمييز</w:t>
      </w:r>
      <w:r w:rsidRPr="003F4908">
        <w:rPr>
          <w:rStyle w:val="Hyperlink"/>
          <w:sz w:val="32"/>
          <w:szCs w:val="32"/>
        </w:rPr>
        <w:t>.</w:t>
      </w:r>
      <w:r w:rsidRPr="003F4908">
        <w:rPr>
          <w:sz w:val="32"/>
          <w:szCs w:val="32"/>
        </w:rPr>
        <w:fldChar w:fldCharType="end"/>
      </w:r>
      <w:r w:rsidRPr="003F4908">
        <w:rPr>
          <w:sz w:val="32"/>
          <w:szCs w:val="32"/>
        </w:rPr>
        <w:br/>
      </w:r>
      <w:r w:rsidRPr="003F4908">
        <w:rPr>
          <w:sz w:val="32"/>
          <w:szCs w:val="32"/>
        </w:rPr>
        <w:br/>
      </w:r>
      <w:r w:rsidRPr="003F4908">
        <w:rPr>
          <w:sz w:val="32"/>
          <w:szCs w:val="32"/>
          <w:u w:val="single"/>
          <w:rtl/>
        </w:rPr>
        <w:t>ملاحظة</w:t>
      </w:r>
      <w:r w:rsidRPr="003F4908">
        <w:rPr>
          <w:sz w:val="32"/>
          <w:szCs w:val="32"/>
          <w:u w:val="single"/>
        </w:rPr>
        <w:t xml:space="preserve"> :</w:t>
      </w:r>
      <w:r w:rsidRPr="003F4908">
        <w:rPr>
          <w:sz w:val="32"/>
          <w:szCs w:val="32"/>
        </w:rPr>
        <w:br/>
      </w:r>
      <w:r w:rsidRPr="003F4908">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3F4908" w:rsidRPr="003F4908" w:rsidRDefault="003F4908" w:rsidP="003F4908">
      <w:pPr>
        <w:rPr>
          <w:sz w:val="32"/>
          <w:szCs w:val="32"/>
        </w:rPr>
      </w:pPr>
      <w:bookmarkStart w:id="9" w:name="Anchor101"/>
      <w:bookmarkEnd w:id="9"/>
      <w:r w:rsidRPr="003F4908">
        <w:rPr>
          <w:b/>
          <w:bCs/>
          <w:sz w:val="32"/>
          <w:szCs w:val="32"/>
          <w:rtl/>
        </w:rPr>
        <w:t>المحكمـــة</w:t>
      </w:r>
    </w:p>
    <w:p w:rsidR="003F4908" w:rsidRPr="003F4908" w:rsidRDefault="003F4908" w:rsidP="003F4908">
      <w:pPr>
        <w:rPr>
          <w:sz w:val="32"/>
          <w:szCs w:val="32"/>
        </w:rPr>
      </w:pPr>
      <w:bookmarkStart w:id="10" w:name="Anchor102"/>
      <w:bookmarkEnd w:id="10"/>
      <w:r w:rsidRPr="003F4908">
        <w:rPr>
          <w:sz w:val="32"/>
          <w:szCs w:val="32"/>
          <w:rtl/>
        </w:rPr>
        <w:t>بعد الاطلاع على الأوراق والمداولة</w:t>
      </w:r>
      <w:r w:rsidRPr="003F4908">
        <w:rPr>
          <w:sz w:val="32"/>
          <w:szCs w:val="32"/>
        </w:rPr>
        <w:t>.</w:t>
      </w:r>
    </w:p>
    <w:p w:rsidR="003F4908" w:rsidRPr="003F4908" w:rsidRDefault="003F4908" w:rsidP="003F4908">
      <w:pPr>
        <w:rPr>
          <w:sz w:val="32"/>
          <w:szCs w:val="32"/>
        </w:rPr>
      </w:pPr>
      <w:bookmarkStart w:id="11" w:name="Anchor106"/>
      <w:bookmarkEnd w:id="11"/>
      <w:r w:rsidRPr="003F4908">
        <w:rPr>
          <w:sz w:val="32"/>
          <w:szCs w:val="32"/>
          <w:rtl/>
        </w:rPr>
        <w:t xml:space="preserve">لما كان </w:t>
      </w:r>
      <w:bookmarkStart w:id="12" w:name="TM2014_2307_1"/>
      <w:bookmarkEnd w:id="12"/>
      <w:r w:rsidRPr="003F4908">
        <w:rPr>
          <w:b/>
          <w:bCs/>
          <w:sz w:val="32"/>
          <w:szCs w:val="32"/>
          <w:rtl/>
        </w:rPr>
        <w:t>من المقرر أن لمحكمة الموضوع سلطة تحصيل وفهم الواقع في الدعوى وتقدير الأدلة،</w:t>
      </w:r>
    </w:p>
    <w:p w:rsidR="003F4908" w:rsidRPr="003F4908" w:rsidRDefault="003F4908" w:rsidP="003F4908">
      <w:pPr>
        <w:rPr>
          <w:sz w:val="32"/>
          <w:szCs w:val="32"/>
        </w:rPr>
      </w:pPr>
      <w:bookmarkStart w:id="13" w:name="Anchor117"/>
      <w:bookmarkStart w:id="14" w:name="TM2014_2307_2"/>
      <w:bookmarkEnd w:id="13"/>
      <w:bookmarkEnd w:id="14"/>
      <w:r w:rsidRPr="003F4908">
        <w:rPr>
          <w:b/>
          <w:bCs/>
          <w:sz w:val="32"/>
          <w:szCs w:val="32"/>
          <w:rtl/>
        </w:rPr>
        <w:lastRenderedPageBreak/>
        <w:t>وأنه إذا أقام خصم دعوى فرعية أمام المحكمة خلال نظرها دعوى أخرى ولم يؤد الرسم المقرر ومضت المحكمة في نظرها وتراخت إدارة الكتاب في تحصيل ذلك الرسم حتى صدر حكم فيها فإن تلك الإدارة تلتزم بحجية هذا الحكم في تحصيل الرسوم المستحقة من الخصم الذي ألزمته المحكمة بها،</w:t>
      </w:r>
      <w:r w:rsidRPr="003F4908">
        <w:rPr>
          <w:sz w:val="32"/>
          <w:szCs w:val="32"/>
          <w:rtl/>
        </w:rPr>
        <w:t xml:space="preserve"> </w:t>
      </w:r>
      <w:bookmarkStart w:id="15" w:name="TM2014_2307_3"/>
      <w:bookmarkEnd w:id="15"/>
      <w:r w:rsidRPr="003F4908">
        <w:rPr>
          <w:b/>
          <w:bCs/>
          <w:sz w:val="32"/>
          <w:szCs w:val="32"/>
          <w:rtl/>
        </w:rPr>
        <w:t>نطاق الطعن بالتمييز لا يتسع لغير هذا الحكم فيتعين أن تنصب أسباب هذا الطعن عليه وحده دون غيره وإلا كانت غير مقبولة</w:t>
      </w:r>
      <w:r w:rsidRPr="003F4908">
        <w:rPr>
          <w:b/>
          <w:bCs/>
          <w:sz w:val="32"/>
          <w:szCs w:val="32"/>
        </w:rPr>
        <w:t xml:space="preserve">. </w:t>
      </w:r>
      <w:r w:rsidRPr="003F4908">
        <w:rPr>
          <w:sz w:val="32"/>
          <w:szCs w:val="32"/>
          <w:rtl/>
        </w:rPr>
        <w:t xml:space="preserve">لما كان ذلك </w:t>
      </w:r>
      <w:bookmarkStart w:id="16" w:name="TM2014_2307_4"/>
      <w:bookmarkEnd w:id="16"/>
      <w:r w:rsidRPr="003F4908">
        <w:rPr>
          <w:b/>
          <w:bCs/>
          <w:sz w:val="32"/>
          <w:szCs w:val="32"/>
          <w:rtl/>
        </w:rPr>
        <w:t>وكان الحكم المطعون فيه قد أقام قضاءه بتأييد الحكم المستأنف القاضي بتعديل أمر تقدير الرسوم المتظلم منه على ما استخلصه من اوراق الدعوى ومستنداتها من أن طلبات المطعون ضده في الدعوى الفرعية التي أقامها أثناء نظر الدعوى رقم 3741 لسنة 2003 تجاري كلي</w:t>
      </w:r>
      <w:r w:rsidRPr="003F4908">
        <w:rPr>
          <w:b/>
          <w:bCs/>
          <w:sz w:val="32"/>
          <w:szCs w:val="32"/>
        </w:rPr>
        <w:t xml:space="preserve">- </w:t>
      </w:r>
      <w:r w:rsidRPr="003F4908">
        <w:rPr>
          <w:b/>
          <w:bCs/>
          <w:sz w:val="32"/>
          <w:szCs w:val="32"/>
          <w:rtl/>
        </w:rPr>
        <w:t>أساس أمر تقدير الرسوم</w:t>
      </w:r>
      <w:r w:rsidRPr="003F4908">
        <w:rPr>
          <w:b/>
          <w:bCs/>
          <w:sz w:val="32"/>
          <w:szCs w:val="32"/>
        </w:rPr>
        <w:t xml:space="preserve">- </w:t>
      </w:r>
      <w:r w:rsidRPr="003F4908">
        <w:rPr>
          <w:b/>
          <w:bCs/>
          <w:sz w:val="32"/>
          <w:szCs w:val="32"/>
          <w:rtl/>
        </w:rPr>
        <w:t>هي إنهاء عقد الإستثمار المؤرخ 2000/1/1 والمنعقد بين طرفيه لمدة خمس سنوات تقدر بالقيمة الإيجارية في المدة من تاريخ رفع الدعوى الفرعية في 2004/1/6 حتى نهاية مدة العقد في 2004/12/31 بإجمالي مقداره 189333 د.ك وتقدر الرسوم المستحقة عنها بالمبلغ المقضي به فإن ما ينعاه الطاعن بصفته بالسبب الثاني يضحى غير مقبول</w:t>
      </w:r>
      <w:r w:rsidRPr="003F4908">
        <w:rPr>
          <w:b/>
          <w:bCs/>
          <w:sz w:val="32"/>
          <w:szCs w:val="32"/>
        </w:rPr>
        <w:t>.</w:t>
      </w:r>
    </w:p>
    <w:p w:rsidR="003F4908" w:rsidRPr="003F4908" w:rsidRDefault="003F4908" w:rsidP="003F4908">
      <w:pPr>
        <w:rPr>
          <w:sz w:val="32"/>
          <w:szCs w:val="32"/>
        </w:rPr>
      </w:pPr>
      <w:bookmarkStart w:id="17" w:name="Anchor202"/>
      <w:bookmarkStart w:id="18" w:name="TM2014_2307_5"/>
      <w:bookmarkEnd w:id="17"/>
      <w:bookmarkEnd w:id="18"/>
      <w:r w:rsidRPr="003F4908">
        <w:rPr>
          <w:b/>
          <w:bCs/>
          <w:sz w:val="32"/>
          <w:szCs w:val="32"/>
          <w:rtl/>
        </w:rPr>
        <w:t>أما ما ينعاه الأخير بالسبب الأول فقد واجهه الحكم المطعون وهو المتعلق بتقدير قيمة الدعوى الفرعية بقيمة المعقود عليه طبقاً لقانون الرسوم القضائية وهو ما لم ينسب للحكم المطعون فيه إغفال الرد عليه إنما إنصب نعي الطاعن بصفته على حكم أول درجة وبالتالي لا يصادف محلاً من قضاء الحكم المطعون فيه ويضحى من ثم غير مقبول</w:t>
      </w:r>
      <w:r w:rsidRPr="003F4908">
        <w:rPr>
          <w:b/>
          <w:bCs/>
          <w:sz w:val="32"/>
          <w:szCs w:val="32"/>
        </w:rPr>
        <w:t>.</w:t>
      </w:r>
      <w:r w:rsidRPr="003F4908">
        <w:rPr>
          <w:sz w:val="32"/>
          <w:szCs w:val="32"/>
        </w:rPr>
        <w:t xml:space="preserve"> </w:t>
      </w:r>
      <w:bookmarkStart w:id="19" w:name="TM2014_2307_6"/>
      <w:bookmarkEnd w:id="19"/>
      <w:r w:rsidRPr="003F4908">
        <w:rPr>
          <w:b/>
          <w:bCs/>
          <w:sz w:val="32"/>
          <w:szCs w:val="32"/>
          <w:rtl/>
        </w:rPr>
        <w:t>وكان ما خلص إليه الحكم سائغاً وله أصله الثابت بالأوراق وكاف لحمل قضائه فإن ما ينعاه الطاعن بصفته بسببي الطعن والذي يدور حول المجادلة في فهم محكمة الموضوع لواقع الدعوى لا يعدو أن يكون جدلاً موضوعياً فيما تستقل تلك المحكمة بتقديره تنحسر عنه رقابة محكمة التمييز ويضحى الطعن غير مقبول عملاً بالمادتين 152، 154/5 مرافعات</w:t>
      </w:r>
      <w:r w:rsidRPr="003F4908">
        <w:rPr>
          <w:b/>
          <w:bCs/>
          <w:sz w:val="32"/>
          <w:szCs w:val="32"/>
        </w:rPr>
        <w:t>.</w:t>
      </w:r>
    </w:p>
    <w:p w:rsidR="003F4908" w:rsidRPr="003F4908" w:rsidRDefault="003F4908" w:rsidP="003F4908">
      <w:pPr>
        <w:rPr>
          <w:sz w:val="32"/>
          <w:szCs w:val="32"/>
        </w:rPr>
      </w:pPr>
      <w:bookmarkStart w:id="20" w:name="Anchor264"/>
      <w:bookmarkEnd w:id="20"/>
      <w:r w:rsidRPr="003F4908">
        <w:rPr>
          <w:b/>
          <w:bCs/>
          <w:sz w:val="32"/>
          <w:szCs w:val="32"/>
          <w:rtl/>
        </w:rPr>
        <w:t>لذلك</w:t>
      </w:r>
    </w:p>
    <w:p w:rsidR="003F4908" w:rsidRPr="003F4908" w:rsidRDefault="003F4908" w:rsidP="003F4908">
      <w:pPr>
        <w:rPr>
          <w:sz w:val="32"/>
          <w:szCs w:val="32"/>
        </w:rPr>
      </w:pPr>
      <w:bookmarkStart w:id="21" w:name="Anchor265"/>
      <w:bookmarkEnd w:id="21"/>
      <w:r w:rsidRPr="003F4908">
        <w:rPr>
          <w:sz w:val="32"/>
          <w:szCs w:val="32"/>
          <w:rtl/>
        </w:rPr>
        <w:t xml:space="preserve">قررت المحكمة - في غرفة المشورة </w:t>
      </w:r>
      <w:r w:rsidRPr="003F4908">
        <w:rPr>
          <w:sz w:val="32"/>
          <w:szCs w:val="32"/>
        </w:rPr>
        <w:t xml:space="preserve">– </w:t>
      </w:r>
      <w:r w:rsidRPr="003F4908">
        <w:rPr>
          <w:sz w:val="32"/>
          <w:szCs w:val="32"/>
          <w:rtl/>
        </w:rPr>
        <w:t>عدم قبول الطعن</w:t>
      </w:r>
      <w:r w:rsidRPr="003F4908">
        <w:rPr>
          <w:sz w:val="32"/>
          <w:szCs w:val="32"/>
        </w:rPr>
        <w:t>.</w:t>
      </w:r>
    </w:p>
    <w:p w:rsidR="003F4908" w:rsidRPr="003F4908" w:rsidRDefault="003F4908" w:rsidP="003F4908">
      <w:pPr>
        <w:rPr>
          <w:sz w:val="32"/>
          <w:szCs w:val="32"/>
        </w:rPr>
      </w:pPr>
    </w:p>
    <w:p w:rsidR="003F4908" w:rsidRPr="003F4908" w:rsidRDefault="003F4908" w:rsidP="003F4908">
      <w:pPr>
        <w:rPr>
          <w:sz w:val="32"/>
          <w:szCs w:val="32"/>
        </w:rPr>
      </w:pPr>
      <w:bookmarkStart w:id="22" w:name="Anchor271"/>
      <w:bookmarkEnd w:id="22"/>
      <w:r w:rsidRPr="003F4908">
        <w:rPr>
          <w:sz w:val="32"/>
          <w:szCs w:val="32"/>
        </w:rPr>
        <w:t>* * *</w:t>
      </w:r>
    </w:p>
    <w:p w:rsidR="008C2BA0" w:rsidRPr="003F4908" w:rsidRDefault="008C2BA0">
      <w:pPr>
        <w:rPr>
          <w:sz w:val="32"/>
          <w:szCs w:val="32"/>
        </w:rPr>
      </w:pPr>
    </w:p>
    <w:sectPr w:rsidR="008C2BA0" w:rsidRPr="003F4908"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188"/>
    <w:rsid w:val="0003272B"/>
    <w:rsid w:val="003F4908"/>
    <w:rsid w:val="008C2BA0"/>
    <w:rsid w:val="00F301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9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9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251164">
      <w:bodyDiv w:val="1"/>
      <w:marLeft w:val="0"/>
      <w:marRight w:val="0"/>
      <w:marTop w:val="0"/>
      <w:marBottom w:val="0"/>
      <w:divBdr>
        <w:top w:val="none" w:sz="0" w:space="0" w:color="auto"/>
        <w:left w:val="none" w:sz="0" w:space="0" w:color="auto"/>
        <w:bottom w:val="none" w:sz="0" w:space="0" w:color="auto"/>
        <w:right w:val="none" w:sz="0" w:space="0" w:color="auto"/>
      </w:divBdr>
      <w:divsChild>
        <w:div w:id="1807504206">
          <w:marLeft w:val="0"/>
          <w:marRight w:val="0"/>
          <w:marTop w:val="0"/>
          <w:marBottom w:val="0"/>
          <w:divBdr>
            <w:top w:val="none" w:sz="0" w:space="0" w:color="auto"/>
            <w:left w:val="none" w:sz="0" w:space="0" w:color="auto"/>
            <w:bottom w:val="none" w:sz="0" w:space="0" w:color="auto"/>
            <w:right w:val="none" w:sz="0" w:space="0" w:color="auto"/>
          </w:divBdr>
        </w:div>
        <w:div w:id="1856309307">
          <w:marLeft w:val="0"/>
          <w:marRight w:val="0"/>
          <w:marTop w:val="0"/>
          <w:marBottom w:val="0"/>
          <w:divBdr>
            <w:top w:val="none" w:sz="0" w:space="0" w:color="auto"/>
            <w:left w:val="none" w:sz="0" w:space="0" w:color="auto"/>
            <w:bottom w:val="none" w:sz="0" w:space="0" w:color="auto"/>
            <w:right w:val="none" w:sz="0" w:space="0" w:color="auto"/>
          </w:divBdr>
        </w:div>
        <w:div w:id="1428698629">
          <w:marLeft w:val="0"/>
          <w:marRight w:val="0"/>
          <w:marTop w:val="0"/>
          <w:marBottom w:val="0"/>
          <w:divBdr>
            <w:top w:val="none" w:sz="0" w:space="0" w:color="auto"/>
            <w:left w:val="none" w:sz="0" w:space="0" w:color="auto"/>
            <w:bottom w:val="none" w:sz="0" w:space="0" w:color="auto"/>
            <w:right w:val="none" w:sz="0" w:space="0" w:color="auto"/>
          </w:divBdr>
        </w:div>
        <w:div w:id="6711814">
          <w:marLeft w:val="0"/>
          <w:marRight w:val="0"/>
          <w:marTop w:val="0"/>
          <w:marBottom w:val="0"/>
          <w:divBdr>
            <w:top w:val="none" w:sz="0" w:space="0" w:color="auto"/>
            <w:left w:val="none" w:sz="0" w:space="0" w:color="auto"/>
            <w:bottom w:val="none" w:sz="0" w:space="0" w:color="auto"/>
            <w:right w:val="none" w:sz="0" w:space="0" w:color="auto"/>
          </w:divBdr>
        </w:div>
        <w:div w:id="297223659">
          <w:marLeft w:val="0"/>
          <w:marRight w:val="0"/>
          <w:marTop w:val="0"/>
          <w:marBottom w:val="0"/>
          <w:divBdr>
            <w:top w:val="none" w:sz="0" w:space="0" w:color="auto"/>
            <w:left w:val="none" w:sz="0" w:space="0" w:color="auto"/>
            <w:bottom w:val="none" w:sz="0" w:space="0" w:color="auto"/>
            <w:right w:val="none" w:sz="0" w:space="0" w:color="auto"/>
          </w:divBdr>
        </w:div>
        <w:div w:id="1922911065">
          <w:marLeft w:val="0"/>
          <w:marRight w:val="0"/>
          <w:marTop w:val="0"/>
          <w:marBottom w:val="0"/>
          <w:divBdr>
            <w:top w:val="none" w:sz="0" w:space="0" w:color="auto"/>
            <w:left w:val="none" w:sz="0" w:space="0" w:color="auto"/>
            <w:bottom w:val="none" w:sz="0" w:space="0" w:color="auto"/>
            <w:right w:val="none" w:sz="0" w:space="0" w:color="auto"/>
          </w:divBdr>
        </w:div>
        <w:div w:id="567765251">
          <w:marLeft w:val="0"/>
          <w:marRight w:val="0"/>
          <w:marTop w:val="0"/>
          <w:marBottom w:val="0"/>
          <w:divBdr>
            <w:top w:val="none" w:sz="0" w:space="0" w:color="auto"/>
            <w:left w:val="none" w:sz="0" w:space="0" w:color="auto"/>
            <w:bottom w:val="none" w:sz="0" w:space="0" w:color="auto"/>
            <w:right w:val="none" w:sz="0" w:space="0" w:color="auto"/>
          </w:divBdr>
        </w:div>
        <w:div w:id="1099373725">
          <w:marLeft w:val="0"/>
          <w:marRight w:val="0"/>
          <w:marTop w:val="0"/>
          <w:marBottom w:val="0"/>
          <w:divBdr>
            <w:top w:val="none" w:sz="0" w:space="0" w:color="auto"/>
            <w:left w:val="none" w:sz="0" w:space="0" w:color="auto"/>
            <w:bottom w:val="none" w:sz="0" w:space="0" w:color="auto"/>
            <w:right w:val="none" w:sz="0" w:space="0" w:color="auto"/>
          </w:divBdr>
        </w:div>
        <w:div w:id="1087459991">
          <w:marLeft w:val="0"/>
          <w:marRight w:val="0"/>
          <w:marTop w:val="0"/>
          <w:marBottom w:val="0"/>
          <w:divBdr>
            <w:top w:val="none" w:sz="0" w:space="0" w:color="auto"/>
            <w:left w:val="none" w:sz="0" w:space="0" w:color="auto"/>
            <w:bottom w:val="none" w:sz="0" w:space="0" w:color="auto"/>
            <w:right w:val="none" w:sz="0" w:space="0" w:color="auto"/>
          </w:divBdr>
        </w:div>
        <w:div w:id="502360521">
          <w:marLeft w:val="0"/>
          <w:marRight w:val="0"/>
          <w:marTop w:val="0"/>
          <w:marBottom w:val="0"/>
          <w:divBdr>
            <w:top w:val="none" w:sz="0" w:space="0" w:color="auto"/>
            <w:left w:val="none" w:sz="0" w:space="0" w:color="auto"/>
            <w:bottom w:val="none" w:sz="0" w:space="0" w:color="auto"/>
            <w:right w:val="none" w:sz="0" w:space="0" w:color="auto"/>
          </w:divBdr>
        </w:div>
        <w:div w:id="1598710167">
          <w:marLeft w:val="0"/>
          <w:marRight w:val="0"/>
          <w:marTop w:val="0"/>
          <w:marBottom w:val="0"/>
          <w:divBdr>
            <w:top w:val="none" w:sz="0" w:space="0" w:color="auto"/>
            <w:left w:val="none" w:sz="0" w:space="0" w:color="auto"/>
            <w:bottom w:val="none" w:sz="0" w:space="0" w:color="auto"/>
            <w:right w:val="none" w:sz="0" w:space="0" w:color="auto"/>
          </w:divBdr>
        </w:div>
        <w:div w:id="1994915952">
          <w:marLeft w:val="0"/>
          <w:marRight w:val="0"/>
          <w:marTop w:val="0"/>
          <w:marBottom w:val="0"/>
          <w:divBdr>
            <w:top w:val="none" w:sz="0" w:space="0" w:color="auto"/>
            <w:left w:val="none" w:sz="0" w:space="0" w:color="auto"/>
            <w:bottom w:val="none" w:sz="0" w:space="0" w:color="auto"/>
            <w:right w:val="none" w:sz="0" w:space="0" w:color="auto"/>
          </w:divBdr>
        </w:div>
        <w:div w:id="1064136791">
          <w:marLeft w:val="0"/>
          <w:marRight w:val="0"/>
          <w:marTop w:val="0"/>
          <w:marBottom w:val="0"/>
          <w:divBdr>
            <w:top w:val="none" w:sz="0" w:space="0" w:color="auto"/>
            <w:left w:val="none" w:sz="0" w:space="0" w:color="auto"/>
            <w:bottom w:val="none" w:sz="0" w:space="0" w:color="auto"/>
            <w:right w:val="none" w:sz="0" w:space="0" w:color="auto"/>
          </w:divBdr>
        </w:div>
        <w:div w:id="1854296862">
          <w:marLeft w:val="0"/>
          <w:marRight w:val="0"/>
          <w:marTop w:val="0"/>
          <w:marBottom w:val="0"/>
          <w:divBdr>
            <w:top w:val="none" w:sz="0" w:space="0" w:color="auto"/>
            <w:left w:val="none" w:sz="0" w:space="0" w:color="auto"/>
            <w:bottom w:val="none" w:sz="0" w:space="0" w:color="auto"/>
            <w:right w:val="none" w:sz="0" w:space="0" w:color="auto"/>
          </w:divBdr>
        </w:div>
        <w:div w:id="1189681731">
          <w:marLeft w:val="0"/>
          <w:marRight w:val="0"/>
          <w:marTop w:val="0"/>
          <w:marBottom w:val="0"/>
          <w:divBdr>
            <w:top w:val="none" w:sz="0" w:space="0" w:color="auto"/>
            <w:left w:val="none" w:sz="0" w:space="0" w:color="auto"/>
            <w:bottom w:val="none" w:sz="0" w:space="0" w:color="auto"/>
            <w:right w:val="none" w:sz="0" w:space="0" w:color="auto"/>
          </w:divBdr>
        </w:div>
        <w:div w:id="76369985">
          <w:marLeft w:val="0"/>
          <w:marRight w:val="0"/>
          <w:marTop w:val="0"/>
          <w:marBottom w:val="0"/>
          <w:divBdr>
            <w:top w:val="none" w:sz="0" w:space="0" w:color="auto"/>
            <w:left w:val="none" w:sz="0" w:space="0" w:color="auto"/>
            <w:bottom w:val="none" w:sz="0" w:space="0" w:color="auto"/>
            <w:right w:val="none" w:sz="0" w:space="0" w:color="auto"/>
          </w:divBdr>
        </w:div>
      </w:divsChild>
    </w:div>
    <w:div w:id="2078549259">
      <w:bodyDiv w:val="1"/>
      <w:marLeft w:val="0"/>
      <w:marRight w:val="0"/>
      <w:marTop w:val="0"/>
      <w:marBottom w:val="0"/>
      <w:divBdr>
        <w:top w:val="none" w:sz="0" w:space="0" w:color="auto"/>
        <w:left w:val="none" w:sz="0" w:space="0" w:color="auto"/>
        <w:bottom w:val="none" w:sz="0" w:space="0" w:color="auto"/>
        <w:right w:val="none" w:sz="0" w:space="0" w:color="auto"/>
      </w:divBdr>
      <w:divsChild>
        <w:div w:id="610012634">
          <w:marLeft w:val="0"/>
          <w:marRight w:val="0"/>
          <w:marTop w:val="0"/>
          <w:marBottom w:val="0"/>
          <w:divBdr>
            <w:top w:val="none" w:sz="0" w:space="0" w:color="auto"/>
            <w:left w:val="none" w:sz="0" w:space="0" w:color="auto"/>
            <w:bottom w:val="none" w:sz="0" w:space="0" w:color="auto"/>
            <w:right w:val="none" w:sz="0" w:space="0" w:color="auto"/>
          </w:divBdr>
        </w:div>
        <w:div w:id="1618440667">
          <w:marLeft w:val="0"/>
          <w:marRight w:val="0"/>
          <w:marTop w:val="0"/>
          <w:marBottom w:val="0"/>
          <w:divBdr>
            <w:top w:val="none" w:sz="0" w:space="0" w:color="auto"/>
            <w:left w:val="none" w:sz="0" w:space="0" w:color="auto"/>
            <w:bottom w:val="none" w:sz="0" w:space="0" w:color="auto"/>
            <w:right w:val="none" w:sz="0" w:space="0" w:color="auto"/>
          </w:divBdr>
        </w:div>
        <w:div w:id="420755858">
          <w:marLeft w:val="0"/>
          <w:marRight w:val="0"/>
          <w:marTop w:val="0"/>
          <w:marBottom w:val="0"/>
          <w:divBdr>
            <w:top w:val="none" w:sz="0" w:space="0" w:color="auto"/>
            <w:left w:val="none" w:sz="0" w:space="0" w:color="auto"/>
            <w:bottom w:val="none" w:sz="0" w:space="0" w:color="auto"/>
            <w:right w:val="none" w:sz="0" w:space="0" w:color="auto"/>
          </w:divBdr>
        </w:div>
        <w:div w:id="925771008">
          <w:marLeft w:val="0"/>
          <w:marRight w:val="0"/>
          <w:marTop w:val="0"/>
          <w:marBottom w:val="0"/>
          <w:divBdr>
            <w:top w:val="none" w:sz="0" w:space="0" w:color="auto"/>
            <w:left w:val="none" w:sz="0" w:space="0" w:color="auto"/>
            <w:bottom w:val="none" w:sz="0" w:space="0" w:color="auto"/>
            <w:right w:val="none" w:sz="0" w:space="0" w:color="auto"/>
          </w:divBdr>
        </w:div>
        <w:div w:id="209151354">
          <w:marLeft w:val="0"/>
          <w:marRight w:val="0"/>
          <w:marTop w:val="0"/>
          <w:marBottom w:val="0"/>
          <w:divBdr>
            <w:top w:val="none" w:sz="0" w:space="0" w:color="auto"/>
            <w:left w:val="none" w:sz="0" w:space="0" w:color="auto"/>
            <w:bottom w:val="none" w:sz="0" w:space="0" w:color="auto"/>
            <w:right w:val="none" w:sz="0" w:space="0" w:color="auto"/>
          </w:divBdr>
        </w:div>
        <w:div w:id="598375410">
          <w:marLeft w:val="0"/>
          <w:marRight w:val="0"/>
          <w:marTop w:val="0"/>
          <w:marBottom w:val="0"/>
          <w:divBdr>
            <w:top w:val="none" w:sz="0" w:space="0" w:color="auto"/>
            <w:left w:val="none" w:sz="0" w:space="0" w:color="auto"/>
            <w:bottom w:val="none" w:sz="0" w:space="0" w:color="auto"/>
            <w:right w:val="none" w:sz="0" w:space="0" w:color="auto"/>
          </w:divBdr>
        </w:div>
        <w:div w:id="749423599">
          <w:marLeft w:val="0"/>
          <w:marRight w:val="0"/>
          <w:marTop w:val="0"/>
          <w:marBottom w:val="0"/>
          <w:divBdr>
            <w:top w:val="none" w:sz="0" w:space="0" w:color="auto"/>
            <w:left w:val="none" w:sz="0" w:space="0" w:color="auto"/>
            <w:bottom w:val="none" w:sz="0" w:space="0" w:color="auto"/>
            <w:right w:val="none" w:sz="0" w:space="0" w:color="auto"/>
          </w:divBdr>
        </w:div>
        <w:div w:id="545918003">
          <w:marLeft w:val="0"/>
          <w:marRight w:val="0"/>
          <w:marTop w:val="0"/>
          <w:marBottom w:val="0"/>
          <w:divBdr>
            <w:top w:val="none" w:sz="0" w:space="0" w:color="auto"/>
            <w:left w:val="none" w:sz="0" w:space="0" w:color="auto"/>
            <w:bottom w:val="none" w:sz="0" w:space="0" w:color="auto"/>
            <w:right w:val="none" w:sz="0" w:space="0" w:color="auto"/>
          </w:divBdr>
        </w:div>
        <w:div w:id="2060590960">
          <w:marLeft w:val="0"/>
          <w:marRight w:val="0"/>
          <w:marTop w:val="0"/>
          <w:marBottom w:val="0"/>
          <w:divBdr>
            <w:top w:val="none" w:sz="0" w:space="0" w:color="auto"/>
            <w:left w:val="none" w:sz="0" w:space="0" w:color="auto"/>
            <w:bottom w:val="none" w:sz="0" w:space="0" w:color="auto"/>
            <w:right w:val="none" w:sz="0" w:space="0" w:color="auto"/>
          </w:divBdr>
        </w:div>
        <w:div w:id="695425303">
          <w:marLeft w:val="0"/>
          <w:marRight w:val="0"/>
          <w:marTop w:val="0"/>
          <w:marBottom w:val="0"/>
          <w:divBdr>
            <w:top w:val="none" w:sz="0" w:space="0" w:color="auto"/>
            <w:left w:val="none" w:sz="0" w:space="0" w:color="auto"/>
            <w:bottom w:val="none" w:sz="0" w:space="0" w:color="auto"/>
            <w:right w:val="none" w:sz="0" w:space="0" w:color="auto"/>
          </w:divBdr>
        </w:div>
        <w:div w:id="1622344488">
          <w:marLeft w:val="0"/>
          <w:marRight w:val="0"/>
          <w:marTop w:val="0"/>
          <w:marBottom w:val="0"/>
          <w:divBdr>
            <w:top w:val="none" w:sz="0" w:space="0" w:color="auto"/>
            <w:left w:val="none" w:sz="0" w:space="0" w:color="auto"/>
            <w:bottom w:val="none" w:sz="0" w:space="0" w:color="auto"/>
            <w:right w:val="none" w:sz="0" w:space="0" w:color="auto"/>
          </w:divBdr>
        </w:div>
        <w:div w:id="644360664">
          <w:marLeft w:val="0"/>
          <w:marRight w:val="0"/>
          <w:marTop w:val="0"/>
          <w:marBottom w:val="0"/>
          <w:divBdr>
            <w:top w:val="none" w:sz="0" w:space="0" w:color="auto"/>
            <w:left w:val="none" w:sz="0" w:space="0" w:color="auto"/>
            <w:bottom w:val="none" w:sz="0" w:space="0" w:color="auto"/>
            <w:right w:val="none" w:sz="0" w:space="0" w:color="auto"/>
          </w:divBdr>
        </w:div>
        <w:div w:id="1518470309">
          <w:marLeft w:val="0"/>
          <w:marRight w:val="0"/>
          <w:marTop w:val="0"/>
          <w:marBottom w:val="0"/>
          <w:divBdr>
            <w:top w:val="none" w:sz="0" w:space="0" w:color="auto"/>
            <w:left w:val="none" w:sz="0" w:space="0" w:color="auto"/>
            <w:bottom w:val="none" w:sz="0" w:space="0" w:color="auto"/>
            <w:right w:val="none" w:sz="0" w:space="0" w:color="auto"/>
          </w:divBdr>
        </w:div>
        <w:div w:id="1140341532">
          <w:marLeft w:val="0"/>
          <w:marRight w:val="0"/>
          <w:marTop w:val="0"/>
          <w:marBottom w:val="0"/>
          <w:divBdr>
            <w:top w:val="none" w:sz="0" w:space="0" w:color="auto"/>
            <w:left w:val="none" w:sz="0" w:space="0" w:color="auto"/>
            <w:bottom w:val="none" w:sz="0" w:space="0" w:color="auto"/>
            <w:right w:val="none" w:sz="0" w:space="0" w:color="auto"/>
          </w:divBdr>
        </w:div>
        <w:div w:id="994067821">
          <w:marLeft w:val="0"/>
          <w:marRight w:val="0"/>
          <w:marTop w:val="0"/>
          <w:marBottom w:val="0"/>
          <w:divBdr>
            <w:top w:val="none" w:sz="0" w:space="0" w:color="auto"/>
            <w:left w:val="none" w:sz="0" w:space="0" w:color="auto"/>
            <w:bottom w:val="none" w:sz="0" w:space="0" w:color="auto"/>
            <w:right w:val="none" w:sz="0" w:space="0" w:color="auto"/>
          </w:divBdr>
        </w:div>
        <w:div w:id="1940481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2020-04-26T11:26:00Z</dcterms:created>
  <dcterms:modified xsi:type="dcterms:W3CDTF">2020-04-26T11:27:00Z</dcterms:modified>
</cp:coreProperties>
</file>