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CF" w:rsidRPr="00AC14CF" w:rsidRDefault="00AC14CF" w:rsidP="00AC14CF">
      <w:pPr>
        <w:jc w:val="center"/>
        <w:rPr>
          <w:sz w:val="32"/>
          <w:szCs w:val="32"/>
        </w:rPr>
      </w:pPr>
      <w:bookmarkStart w:id="0" w:name="Anchor1"/>
      <w:bookmarkEnd w:id="0"/>
      <w:r w:rsidRPr="00AC14CF">
        <w:rPr>
          <w:sz w:val="32"/>
          <w:szCs w:val="32"/>
          <w:rtl/>
        </w:rPr>
        <w:t>الطع</w:t>
      </w:r>
      <w:bookmarkStart w:id="1" w:name="_GoBack"/>
      <w:bookmarkEnd w:id="1"/>
      <w:r w:rsidRPr="00AC14CF">
        <w:rPr>
          <w:sz w:val="32"/>
          <w:szCs w:val="32"/>
          <w:rtl/>
        </w:rPr>
        <w:t>ن رقم 2476</w:t>
      </w:r>
    </w:p>
    <w:p w:rsidR="00AC14CF" w:rsidRPr="00AC14CF" w:rsidRDefault="00AC14CF" w:rsidP="00AC14CF">
      <w:pPr>
        <w:rPr>
          <w:sz w:val="32"/>
          <w:szCs w:val="32"/>
        </w:rPr>
      </w:pPr>
      <w:bookmarkStart w:id="2" w:name="Anchor5"/>
      <w:bookmarkEnd w:id="2"/>
      <w:r w:rsidRPr="00AC14CF">
        <w:rPr>
          <w:sz w:val="32"/>
          <w:szCs w:val="32"/>
          <w:rtl/>
        </w:rPr>
        <w:t>هيئة المحكمة</w:t>
      </w:r>
      <w:r w:rsidRPr="00AC14CF">
        <w:rPr>
          <w:sz w:val="32"/>
          <w:szCs w:val="32"/>
        </w:rPr>
        <w:t xml:space="preserve">: </w:t>
      </w:r>
      <w:r w:rsidRPr="00AC14CF">
        <w:rPr>
          <w:sz w:val="32"/>
          <w:szCs w:val="32"/>
          <w:rtl/>
        </w:rPr>
        <w:t>برئاسة السيد المستشار عبدالعزيز الفهد وكيل المحكمة وعضوية السادة المستشارين أيمن سعد الدين ومحمود التركاوي وعبدالرحمن مطاوع وضياء الدين أبو الحسن</w:t>
      </w:r>
    </w:p>
    <w:bookmarkStart w:id="3" w:name="Anchor25"/>
    <w:bookmarkEnd w:id="3"/>
    <w:p w:rsidR="00AC14CF" w:rsidRPr="00AC14CF" w:rsidRDefault="00AC14CF" w:rsidP="00AC14CF">
      <w:pPr>
        <w:rPr>
          <w:sz w:val="32"/>
          <w:szCs w:val="32"/>
        </w:rPr>
      </w:pPr>
      <w:r w:rsidRPr="00AC14CF">
        <w:rPr>
          <w:sz w:val="32"/>
          <w:szCs w:val="32"/>
        </w:rPr>
        <w:fldChar w:fldCharType="begin"/>
      </w:r>
      <w:r w:rsidRPr="00AC14CF">
        <w:rPr>
          <w:sz w:val="32"/>
          <w:szCs w:val="32"/>
        </w:rPr>
        <w:instrText xml:space="preserve"> HYPERLINK "http://www.law.gov.kw/KWT_CC-Ar/00_2014/00_%D8%A7%D9%84%D8%AF%D8%A7%D8%A6%D8%B1%D8%A9%20%D8%A7%D9%84%D8%AA%D8%AC%D8%A7%D8%B1%D9%8A%D8%A9/KWT-CC-Ar_2014-11-10_02476_Taan.html" \l "TM2014_2476_1" </w:instrText>
      </w:r>
      <w:r w:rsidRPr="00AC14CF">
        <w:rPr>
          <w:sz w:val="32"/>
          <w:szCs w:val="32"/>
        </w:rPr>
        <w:fldChar w:fldCharType="separate"/>
      </w:r>
      <w:r w:rsidRPr="00AC14CF">
        <w:rPr>
          <w:rStyle w:val="Hyperlink"/>
          <w:sz w:val="32"/>
          <w:szCs w:val="32"/>
        </w:rPr>
        <w:t xml:space="preserve">1- </w:t>
      </w:r>
      <w:r w:rsidRPr="00AC14CF">
        <w:rPr>
          <w:rStyle w:val="Hyperlink"/>
          <w:sz w:val="32"/>
          <w:szCs w:val="32"/>
          <w:rtl/>
        </w:rPr>
        <w:t>ان لمحكمة الموضوع سلطة تحصيل وفهم الواقع في الدعوى وتقدير الادلة المقدمة فيها</w:t>
      </w:r>
      <w:r w:rsidRPr="00AC14CF">
        <w:rPr>
          <w:rStyle w:val="Hyperlink"/>
          <w:sz w:val="32"/>
          <w:szCs w:val="32"/>
        </w:rPr>
        <w:t>.</w:t>
      </w:r>
      <w:r w:rsidRPr="00AC14CF">
        <w:rPr>
          <w:sz w:val="32"/>
          <w:szCs w:val="32"/>
        </w:rPr>
        <w:fldChar w:fldCharType="end"/>
      </w:r>
    </w:p>
    <w:bookmarkStart w:id="4" w:name="Anchor36"/>
    <w:bookmarkEnd w:id="4"/>
    <w:p w:rsidR="00AC14CF" w:rsidRPr="00AC14CF" w:rsidRDefault="00AC14CF" w:rsidP="00AC14CF">
      <w:pPr>
        <w:rPr>
          <w:sz w:val="32"/>
          <w:szCs w:val="32"/>
        </w:rPr>
      </w:pPr>
      <w:r w:rsidRPr="00AC14CF">
        <w:rPr>
          <w:sz w:val="32"/>
          <w:szCs w:val="32"/>
        </w:rPr>
        <w:fldChar w:fldCharType="begin"/>
      </w:r>
      <w:r w:rsidRPr="00AC14CF">
        <w:rPr>
          <w:sz w:val="32"/>
          <w:szCs w:val="32"/>
        </w:rPr>
        <w:instrText xml:space="preserve"> HYPERLINK "http://www.law.gov.kw/KWT_CC-Ar/00_2014/00_%D8%A7%D9%84%D8%AF%D8%A7%D8%A6%D8%B1%D8%A9%20%D8%A7%D9%84%D8%AA%D8%AC%D8%A7%D8%B1%D9%8A%D8%A9/KWT-CC-Ar_2014-11-10_02476_Taan.html" \l "TM2014_2476_2" </w:instrText>
      </w:r>
      <w:r w:rsidRPr="00AC14CF">
        <w:rPr>
          <w:sz w:val="32"/>
          <w:szCs w:val="32"/>
        </w:rPr>
        <w:fldChar w:fldCharType="separate"/>
      </w:r>
      <w:r w:rsidRPr="00AC14CF">
        <w:rPr>
          <w:rStyle w:val="Hyperlink"/>
          <w:sz w:val="32"/>
          <w:szCs w:val="32"/>
        </w:rPr>
        <w:t xml:space="preserve">2- </w:t>
      </w:r>
      <w:r w:rsidRPr="00AC14CF">
        <w:rPr>
          <w:rStyle w:val="Hyperlink"/>
          <w:sz w:val="32"/>
          <w:szCs w:val="32"/>
          <w:rtl/>
        </w:rPr>
        <w:t>ان للمحكمة تقدير موجبات عزل المصفي من عدمه دون رقابة عليها</w:t>
      </w:r>
      <w:r w:rsidRPr="00AC14CF">
        <w:rPr>
          <w:rStyle w:val="Hyperlink"/>
          <w:sz w:val="32"/>
          <w:szCs w:val="32"/>
        </w:rPr>
        <w:t>.</w:t>
      </w:r>
      <w:r w:rsidRPr="00AC14CF">
        <w:rPr>
          <w:sz w:val="32"/>
          <w:szCs w:val="32"/>
        </w:rPr>
        <w:fldChar w:fldCharType="end"/>
      </w:r>
    </w:p>
    <w:bookmarkStart w:id="5" w:name="Anchor44"/>
    <w:bookmarkEnd w:id="5"/>
    <w:p w:rsidR="00AC14CF" w:rsidRPr="00AC14CF" w:rsidRDefault="00AC14CF" w:rsidP="00AC14CF">
      <w:pPr>
        <w:rPr>
          <w:sz w:val="32"/>
          <w:szCs w:val="32"/>
        </w:rPr>
      </w:pPr>
      <w:r w:rsidRPr="00AC14CF">
        <w:rPr>
          <w:sz w:val="32"/>
          <w:szCs w:val="32"/>
        </w:rPr>
        <w:fldChar w:fldCharType="begin"/>
      </w:r>
      <w:r w:rsidRPr="00AC14CF">
        <w:rPr>
          <w:sz w:val="32"/>
          <w:szCs w:val="32"/>
        </w:rPr>
        <w:instrText xml:space="preserve"> HYPERLINK "http://www.law.gov.kw/KWT_CC-Ar/00_2014/00_%D8%A7%D9%84%D8%AF%D8%A7%D8%A6%D8%B1%D8%A9%20%D8%A7%D9%84%D8%AA%D8%AC%D8%A7%D8%B1%D9%8A%D8%A9/KWT-CC-Ar_2014-11-10_02476_Taan.html" \l "TM2014_2476_3" </w:instrText>
      </w:r>
      <w:r w:rsidRPr="00AC14CF">
        <w:rPr>
          <w:sz w:val="32"/>
          <w:szCs w:val="32"/>
        </w:rPr>
        <w:fldChar w:fldCharType="separate"/>
      </w:r>
      <w:r w:rsidRPr="00AC14CF">
        <w:rPr>
          <w:rStyle w:val="Hyperlink"/>
          <w:sz w:val="32"/>
          <w:szCs w:val="32"/>
        </w:rPr>
        <w:t xml:space="preserve">3- </w:t>
      </w:r>
      <w:r w:rsidRPr="00AC14CF">
        <w:rPr>
          <w:rStyle w:val="Hyperlink"/>
          <w:sz w:val="32"/>
          <w:szCs w:val="32"/>
          <w:rtl/>
        </w:rPr>
        <w:t>ان الحكم المطعون فيه قضى بعدم وجوب وقف إعمال التصفية القضائية لعدم ثبوت تقصير من جانب المصفي من اداء واجباته وانه إتخذ العديد من الاجراءات للوصول لتصفية الشركة موضوع النزاع</w:t>
      </w:r>
      <w:r w:rsidRPr="00AC14CF">
        <w:rPr>
          <w:rStyle w:val="Hyperlink"/>
          <w:sz w:val="32"/>
          <w:szCs w:val="32"/>
        </w:rPr>
        <w:t>.</w:t>
      </w:r>
      <w:r w:rsidRPr="00AC14CF">
        <w:rPr>
          <w:sz w:val="32"/>
          <w:szCs w:val="32"/>
        </w:rPr>
        <w:fldChar w:fldCharType="end"/>
      </w:r>
      <w:r w:rsidRPr="00AC14CF">
        <w:rPr>
          <w:sz w:val="32"/>
          <w:szCs w:val="32"/>
        </w:rPr>
        <w:br/>
      </w:r>
      <w:r w:rsidRPr="00AC14CF">
        <w:rPr>
          <w:sz w:val="32"/>
          <w:szCs w:val="32"/>
        </w:rPr>
        <w:br/>
      </w:r>
      <w:r w:rsidRPr="00AC14CF">
        <w:rPr>
          <w:sz w:val="32"/>
          <w:szCs w:val="32"/>
          <w:u w:val="single"/>
          <w:rtl/>
        </w:rPr>
        <w:t>ملاحظة</w:t>
      </w:r>
      <w:r w:rsidRPr="00AC14CF">
        <w:rPr>
          <w:sz w:val="32"/>
          <w:szCs w:val="32"/>
          <w:u w:val="single"/>
        </w:rPr>
        <w:t xml:space="preserve"> :</w:t>
      </w:r>
      <w:r w:rsidRPr="00AC14CF">
        <w:rPr>
          <w:sz w:val="32"/>
          <w:szCs w:val="32"/>
        </w:rPr>
        <w:br/>
      </w:r>
      <w:r w:rsidRPr="00AC14CF">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C14CF" w:rsidRPr="00AC14CF" w:rsidRDefault="00AC14CF" w:rsidP="00AC14CF">
      <w:pPr>
        <w:rPr>
          <w:sz w:val="32"/>
          <w:szCs w:val="32"/>
        </w:rPr>
      </w:pPr>
      <w:bookmarkStart w:id="6" w:name="Anchor63"/>
      <w:bookmarkEnd w:id="6"/>
      <w:r w:rsidRPr="00AC14CF">
        <w:rPr>
          <w:b/>
          <w:bCs/>
          <w:sz w:val="32"/>
          <w:szCs w:val="32"/>
          <w:rtl/>
        </w:rPr>
        <w:t>المحكمة</w:t>
      </w:r>
    </w:p>
    <w:p w:rsidR="00AC14CF" w:rsidRPr="00AC14CF" w:rsidRDefault="00AC14CF" w:rsidP="00AC14CF">
      <w:pPr>
        <w:rPr>
          <w:sz w:val="32"/>
          <w:szCs w:val="32"/>
        </w:rPr>
      </w:pPr>
      <w:bookmarkStart w:id="7" w:name="Anchor64"/>
      <w:bookmarkEnd w:id="7"/>
      <w:r w:rsidRPr="00AC14CF">
        <w:rPr>
          <w:sz w:val="32"/>
          <w:szCs w:val="32"/>
          <w:rtl/>
        </w:rPr>
        <w:t>بعد الاطلاع على الأوراق والمداولة</w:t>
      </w:r>
      <w:r w:rsidRPr="00AC14CF">
        <w:rPr>
          <w:sz w:val="32"/>
          <w:szCs w:val="32"/>
        </w:rPr>
        <w:t>.</w:t>
      </w:r>
    </w:p>
    <w:p w:rsidR="00AC14CF" w:rsidRPr="00AC14CF" w:rsidRDefault="00AC14CF" w:rsidP="00AC14CF">
      <w:pPr>
        <w:rPr>
          <w:sz w:val="32"/>
          <w:szCs w:val="32"/>
        </w:rPr>
      </w:pPr>
      <w:bookmarkStart w:id="8" w:name="Anchor68"/>
      <w:bookmarkStart w:id="9" w:name="TM2014_2476_1"/>
      <w:bookmarkEnd w:id="8"/>
      <w:bookmarkEnd w:id="9"/>
      <w:r w:rsidRPr="00AC14CF">
        <w:rPr>
          <w:b/>
          <w:bCs/>
          <w:sz w:val="32"/>
          <w:szCs w:val="32"/>
          <w:rtl/>
        </w:rPr>
        <w:t>لما كان من المقرر أن لمحكمة الموضوع السلطة في تحصيل وفهم الواقع في الدعوى وتقدير الأدلة المقدمة فيها والأخذ بما تطمئن إليه فيها وإطراح ما عداه،</w:t>
      </w:r>
      <w:r w:rsidRPr="00AC14CF">
        <w:rPr>
          <w:sz w:val="32"/>
          <w:szCs w:val="32"/>
          <w:rtl/>
        </w:rPr>
        <w:t xml:space="preserve"> كما </w:t>
      </w:r>
      <w:bookmarkStart w:id="10" w:name="TM2014_2476_2"/>
      <w:bookmarkEnd w:id="10"/>
      <w:r w:rsidRPr="00AC14CF">
        <w:rPr>
          <w:b/>
          <w:bCs/>
          <w:sz w:val="32"/>
          <w:szCs w:val="32"/>
          <w:rtl/>
        </w:rPr>
        <w:t>لها سلطة تقدير موجبات عزل المصفي من عدمه باعتبارها من مسائل الواقع، ولها وهي تباشر سلطتها في هذا التقدير أن تأخذ بما تطمئن إليه وأن تطرح ما عداه ولو كان محتملاً ولا رقابة عليها في ذلك متى أقامت قضاءها على أسباب سائغة،</w:t>
      </w:r>
    </w:p>
    <w:p w:rsidR="00AC14CF" w:rsidRPr="00AC14CF" w:rsidRDefault="00AC14CF" w:rsidP="00AC14CF">
      <w:pPr>
        <w:rPr>
          <w:sz w:val="32"/>
          <w:szCs w:val="32"/>
        </w:rPr>
      </w:pPr>
      <w:bookmarkStart w:id="11" w:name="Anchor108"/>
      <w:bookmarkStart w:id="12" w:name="TM2014_2476_3"/>
      <w:bookmarkEnd w:id="11"/>
      <w:bookmarkEnd w:id="12"/>
      <w:r w:rsidRPr="00AC14CF">
        <w:rPr>
          <w:b/>
          <w:bCs/>
          <w:sz w:val="32"/>
          <w:szCs w:val="32"/>
          <w:rtl/>
        </w:rPr>
        <w:t xml:space="preserve">وكان الحكم المطعون فيه المؤيد للحكم الإبتدائي والمكمل له ، قد انتهى إلى أن الثابت من تقرير المصفي عن الفترة من </w:t>
      </w:r>
      <w:r w:rsidRPr="00AC14CF">
        <w:rPr>
          <w:b/>
          <w:bCs/>
          <w:sz w:val="32"/>
          <w:szCs w:val="32"/>
        </w:rPr>
        <w:t xml:space="preserve">2005/11/14 </w:t>
      </w:r>
      <w:r w:rsidRPr="00AC14CF">
        <w:rPr>
          <w:b/>
          <w:bCs/>
          <w:sz w:val="32"/>
          <w:szCs w:val="32"/>
          <w:rtl/>
        </w:rPr>
        <w:t xml:space="preserve">حتى 2010/3/30 والذي تطمئن إليه من انه اتخذ العديد من الإجراءات للوصول لتصفية الشركة موضوع النزاع وأن أوراق الدعوى ومستنداتها لم تثبت تقصير من جانب المصفي القضائي من أداء واجباته وأن التصفية لم تنتهي حتى الأن فلا موجب لوقف إعمالها، ورتب الحكم على ذلك قضاءه برفض الدعوى، ولما كان هذا </w:t>
      </w:r>
      <w:r w:rsidRPr="00AC14CF">
        <w:rPr>
          <w:b/>
          <w:bCs/>
          <w:sz w:val="32"/>
          <w:szCs w:val="32"/>
          <w:rtl/>
        </w:rPr>
        <w:lastRenderedPageBreak/>
        <w:t>الاستخلاص سائغاً له معينه الثابت بالأوراق ويؤدي إلى النتيجة التي انتهى إليها، ومن ثم فإن ما ينعاه الطاعنين بسبب طعنهم من وجود تقصير في جانب المصفي القضائي وأنه لم يقم بواجبات وظيفته فإنه لا يعدو أن يكون جدل في سلطة محكمة الموضوع في تقدير الأدلة هو لا يجوز إثارته أمام هذه المحكمة، ومن ثم يضحى الطعن مقاماً على غير الأسباب المبينة بالمادة 102 من قانون المرافعات ومن ثم يكون غير مقبول عملاً بالمادة 154/5 من ذات القانون</w:t>
      </w:r>
      <w:r w:rsidRPr="00AC14CF">
        <w:rPr>
          <w:b/>
          <w:bCs/>
          <w:sz w:val="32"/>
          <w:szCs w:val="32"/>
        </w:rPr>
        <w:t>.</w:t>
      </w:r>
    </w:p>
    <w:p w:rsidR="00AC14CF" w:rsidRPr="00AC14CF" w:rsidRDefault="00AC14CF" w:rsidP="00AC14CF">
      <w:pPr>
        <w:rPr>
          <w:sz w:val="32"/>
          <w:szCs w:val="32"/>
        </w:rPr>
      </w:pPr>
      <w:bookmarkStart w:id="13" w:name="Anchor182"/>
      <w:bookmarkEnd w:id="13"/>
      <w:r w:rsidRPr="00AC14CF">
        <w:rPr>
          <w:sz w:val="32"/>
          <w:szCs w:val="32"/>
          <w:rtl/>
        </w:rPr>
        <w:t>لذلك</w:t>
      </w:r>
    </w:p>
    <w:p w:rsidR="00AC14CF" w:rsidRPr="00AC14CF" w:rsidRDefault="00AC14CF" w:rsidP="00AC14CF">
      <w:pPr>
        <w:rPr>
          <w:sz w:val="32"/>
          <w:szCs w:val="32"/>
        </w:rPr>
      </w:pPr>
      <w:bookmarkStart w:id="14" w:name="Anchor183"/>
      <w:bookmarkEnd w:id="14"/>
      <w:r w:rsidRPr="00AC14CF">
        <w:rPr>
          <w:sz w:val="32"/>
          <w:szCs w:val="32"/>
          <w:rtl/>
        </w:rPr>
        <w:t xml:space="preserve">قررت المحكمة </w:t>
      </w:r>
      <w:r w:rsidRPr="00AC14CF">
        <w:rPr>
          <w:sz w:val="32"/>
          <w:szCs w:val="32"/>
        </w:rPr>
        <w:t xml:space="preserve">– </w:t>
      </w:r>
      <w:r w:rsidRPr="00AC14CF">
        <w:rPr>
          <w:sz w:val="32"/>
          <w:szCs w:val="32"/>
          <w:rtl/>
        </w:rPr>
        <w:t>في غرفة المشورة</w:t>
      </w:r>
      <w:r w:rsidRPr="00AC14CF">
        <w:rPr>
          <w:sz w:val="32"/>
          <w:szCs w:val="32"/>
        </w:rPr>
        <w:t xml:space="preserve">- </w:t>
      </w:r>
      <w:r w:rsidRPr="00AC14CF">
        <w:rPr>
          <w:sz w:val="32"/>
          <w:szCs w:val="32"/>
          <w:rtl/>
        </w:rPr>
        <w:t>عدم قبول الطعن وألزمت الطاعنين بالمصروفات مع مصادرة الكفالة</w:t>
      </w:r>
      <w:r w:rsidRPr="00AC14CF">
        <w:rPr>
          <w:sz w:val="32"/>
          <w:szCs w:val="32"/>
        </w:rPr>
        <w:t>.</w:t>
      </w:r>
    </w:p>
    <w:p w:rsidR="00AC14CF" w:rsidRPr="00AC14CF" w:rsidRDefault="00AC14CF" w:rsidP="00AC14CF">
      <w:pPr>
        <w:rPr>
          <w:sz w:val="32"/>
          <w:szCs w:val="32"/>
        </w:rPr>
      </w:pPr>
    </w:p>
    <w:p w:rsidR="00AC14CF" w:rsidRPr="00AC14CF" w:rsidRDefault="00AC14CF" w:rsidP="00AC14CF">
      <w:pPr>
        <w:rPr>
          <w:sz w:val="32"/>
          <w:szCs w:val="32"/>
        </w:rPr>
      </w:pPr>
      <w:bookmarkStart w:id="15" w:name="Anchor195"/>
      <w:bookmarkEnd w:id="15"/>
      <w:r w:rsidRPr="00AC14CF">
        <w:rPr>
          <w:sz w:val="32"/>
          <w:szCs w:val="32"/>
        </w:rPr>
        <w:t>* * *</w:t>
      </w:r>
    </w:p>
    <w:p w:rsidR="008C2BA0" w:rsidRPr="00AC14CF" w:rsidRDefault="008C2BA0">
      <w:pPr>
        <w:rPr>
          <w:sz w:val="32"/>
          <w:szCs w:val="32"/>
        </w:rPr>
      </w:pPr>
    </w:p>
    <w:sectPr w:rsidR="008C2BA0" w:rsidRPr="00AC14C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A8"/>
    <w:rsid w:val="0003272B"/>
    <w:rsid w:val="008C2BA0"/>
    <w:rsid w:val="00AC14CF"/>
    <w:rsid w:val="00D43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4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4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877143">
      <w:bodyDiv w:val="1"/>
      <w:marLeft w:val="0"/>
      <w:marRight w:val="0"/>
      <w:marTop w:val="0"/>
      <w:marBottom w:val="0"/>
      <w:divBdr>
        <w:top w:val="none" w:sz="0" w:space="0" w:color="auto"/>
        <w:left w:val="none" w:sz="0" w:space="0" w:color="auto"/>
        <w:bottom w:val="none" w:sz="0" w:space="0" w:color="auto"/>
        <w:right w:val="none" w:sz="0" w:space="0" w:color="auto"/>
      </w:divBdr>
      <w:divsChild>
        <w:div w:id="220602137">
          <w:marLeft w:val="0"/>
          <w:marRight w:val="0"/>
          <w:marTop w:val="0"/>
          <w:marBottom w:val="0"/>
          <w:divBdr>
            <w:top w:val="none" w:sz="0" w:space="0" w:color="auto"/>
            <w:left w:val="none" w:sz="0" w:space="0" w:color="auto"/>
            <w:bottom w:val="none" w:sz="0" w:space="0" w:color="auto"/>
            <w:right w:val="none" w:sz="0" w:space="0" w:color="auto"/>
          </w:divBdr>
        </w:div>
        <w:div w:id="222954894">
          <w:marLeft w:val="0"/>
          <w:marRight w:val="0"/>
          <w:marTop w:val="0"/>
          <w:marBottom w:val="0"/>
          <w:divBdr>
            <w:top w:val="none" w:sz="0" w:space="0" w:color="auto"/>
            <w:left w:val="none" w:sz="0" w:space="0" w:color="auto"/>
            <w:bottom w:val="none" w:sz="0" w:space="0" w:color="auto"/>
            <w:right w:val="none" w:sz="0" w:space="0" w:color="auto"/>
          </w:divBdr>
        </w:div>
        <w:div w:id="497692369">
          <w:marLeft w:val="0"/>
          <w:marRight w:val="0"/>
          <w:marTop w:val="0"/>
          <w:marBottom w:val="0"/>
          <w:divBdr>
            <w:top w:val="none" w:sz="0" w:space="0" w:color="auto"/>
            <w:left w:val="none" w:sz="0" w:space="0" w:color="auto"/>
            <w:bottom w:val="none" w:sz="0" w:space="0" w:color="auto"/>
            <w:right w:val="none" w:sz="0" w:space="0" w:color="auto"/>
          </w:divBdr>
        </w:div>
        <w:div w:id="391388170">
          <w:marLeft w:val="0"/>
          <w:marRight w:val="0"/>
          <w:marTop w:val="0"/>
          <w:marBottom w:val="0"/>
          <w:divBdr>
            <w:top w:val="none" w:sz="0" w:space="0" w:color="auto"/>
            <w:left w:val="none" w:sz="0" w:space="0" w:color="auto"/>
            <w:bottom w:val="none" w:sz="0" w:space="0" w:color="auto"/>
            <w:right w:val="none" w:sz="0" w:space="0" w:color="auto"/>
          </w:divBdr>
        </w:div>
        <w:div w:id="999046245">
          <w:marLeft w:val="0"/>
          <w:marRight w:val="0"/>
          <w:marTop w:val="0"/>
          <w:marBottom w:val="0"/>
          <w:divBdr>
            <w:top w:val="none" w:sz="0" w:space="0" w:color="auto"/>
            <w:left w:val="none" w:sz="0" w:space="0" w:color="auto"/>
            <w:bottom w:val="none" w:sz="0" w:space="0" w:color="auto"/>
            <w:right w:val="none" w:sz="0" w:space="0" w:color="auto"/>
          </w:divBdr>
        </w:div>
        <w:div w:id="2024042655">
          <w:marLeft w:val="0"/>
          <w:marRight w:val="0"/>
          <w:marTop w:val="0"/>
          <w:marBottom w:val="0"/>
          <w:divBdr>
            <w:top w:val="none" w:sz="0" w:space="0" w:color="auto"/>
            <w:left w:val="none" w:sz="0" w:space="0" w:color="auto"/>
            <w:bottom w:val="none" w:sz="0" w:space="0" w:color="auto"/>
            <w:right w:val="none" w:sz="0" w:space="0" w:color="auto"/>
          </w:divBdr>
        </w:div>
        <w:div w:id="842624529">
          <w:marLeft w:val="0"/>
          <w:marRight w:val="0"/>
          <w:marTop w:val="0"/>
          <w:marBottom w:val="0"/>
          <w:divBdr>
            <w:top w:val="none" w:sz="0" w:space="0" w:color="auto"/>
            <w:left w:val="none" w:sz="0" w:space="0" w:color="auto"/>
            <w:bottom w:val="none" w:sz="0" w:space="0" w:color="auto"/>
            <w:right w:val="none" w:sz="0" w:space="0" w:color="auto"/>
          </w:divBdr>
        </w:div>
        <w:div w:id="991520439">
          <w:marLeft w:val="0"/>
          <w:marRight w:val="0"/>
          <w:marTop w:val="0"/>
          <w:marBottom w:val="0"/>
          <w:divBdr>
            <w:top w:val="none" w:sz="0" w:space="0" w:color="auto"/>
            <w:left w:val="none" w:sz="0" w:space="0" w:color="auto"/>
            <w:bottom w:val="none" w:sz="0" w:space="0" w:color="auto"/>
            <w:right w:val="none" w:sz="0" w:space="0" w:color="auto"/>
          </w:divBdr>
        </w:div>
        <w:div w:id="825433123">
          <w:marLeft w:val="0"/>
          <w:marRight w:val="0"/>
          <w:marTop w:val="0"/>
          <w:marBottom w:val="0"/>
          <w:divBdr>
            <w:top w:val="none" w:sz="0" w:space="0" w:color="auto"/>
            <w:left w:val="none" w:sz="0" w:space="0" w:color="auto"/>
            <w:bottom w:val="none" w:sz="0" w:space="0" w:color="auto"/>
            <w:right w:val="none" w:sz="0" w:space="0" w:color="auto"/>
          </w:divBdr>
        </w:div>
        <w:div w:id="1802141549">
          <w:marLeft w:val="0"/>
          <w:marRight w:val="0"/>
          <w:marTop w:val="0"/>
          <w:marBottom w:val="0"/>
          <w:divBdr>
            <w:top w:val="none" w:sz="0" w:space="0" w:color="auto"/>
            <w:left w:val="none" w:sz="0" w:space="0" w:color="auto"/>
            <w:bottom w:val="none" w:sz="0" w:space="0" w:color="auto"/>
            <w:right w:val="none" w:sz="0" w:space="0" w:color="auto"/>
          </w:divBdr>
        </w:div>
        <w:div w:id="962542053">
          <w:marLeft w:val="0"/>
          <w:marRight w:val="0"/>
          <w:marTop w:val="0"/>
          <w:marBottom w:val="0"/>
          <w:divBdr>
            <w:top w:val="none" w:sz="0" w:space="0" w:color="auto"/>
            <w:left w:val="none" w:sz="0" w:space="0" w:color="auto"/>
            <w:bottom w:val="none" w:sz="0" w:space="0" w:color="auto"/>
            <w:right w:val="none" w:sz="0" w:space="0" w:color="auto"/>
          </w:divBdr>
        </w:div>
        <w:div w:id="324015295">
          <w:marLeft w:val="0"/>
          <w:marRight w:val="0"/>
          <w:marTop w:val="0"/>
          <w:marBottom w:val="0"/>
          <w:divBdr>
            <w:top w:val="none" w:sz="0" w:space="0" w:color="auto"/>
            <w:left w:val="none" w:sz="0" w:space="0" w:color="auto"/>
            <w:bottom w:val="none" w:sz="0" w:space="0" w:color="auto"/>
            <w:right w:val="none" w:sz="0" w:space="0" w:color="auto"/>
          </w:divBdr>
        </w:div>
      </w:divsChild>
    </w:div>
    <w:div w:id="2058429245">
      <w:bodyDiv w:val="1"/>
      <w:marLeft w:val="0"/>
      <w:marRight w:val="0"/>
      <w:marTop w:val="0"/>
      <w:marBottom w:val="0"/>
      <w:divBdr>
        <w:top w:val="none" w:sz="0" w:space="0" w:color="auto"/>
        <w:left w:val="none" w:sz="0" w:space="0" w:color="auto"/>
        <w:bottom w:val="none" w:sz="0" w:space="0" w:color="auto"/>
        <w:right w:val="none" w:sz="0" w:space="0" w:color="auto"/>
      </w:divBdr>
      <w:divsChild>
        <w:div w:id="151527554">
          <w:marLeft w:val="0"/>
          <w:marRight w:val="0"/>
          <w:marTop w:val="0"/>
          <w:marBottom w:val="0"/>
          <w:divBdr>
            <w:top w:val="none" w:sz="0" w:space="0" w:color="auto"/>
            <w:left w:val="none" w:sz="0" w:space="0" w:color="auto"/>
            <w:bottom w:val="none" w:sz="0" w:space="0" w:color="auto"/>
            <w:right w:val="none" w:sz="0" w:space="0" w:color="auto"/>
          </w:divBdr>
        </w:div>
        <w:div w:id="1067656044">
          <w:marLeft w:val="0"/>
          <w:marRight w:val="0"/>
          <w:marTop w:val="0"/>
          <w:marBottom w:val="0"/>
          <w:divBdr>
            <w:top w:val="none" w:sz="0" w:space="0" w:color="auto"/>
            <w:left w:val="none" w:sz="0" w:space="0" w:color="auto"/>
            <w:bottom w:val="none" w:sz="0" w:space="0" w:color="auto"/>
            <w:right w:val="none" w:sz="0" w:space="0" w:color="auto"/>
          </w:divBdr>
        </w:div>
        <w:div w:id="6519398">
          <w:marLeft w:val="0"/>
          <w:marRight w:val="0"/>
          <w:marTop w:val="0"/>
          <w:marBottom w:val="0"/>
          <w:divBdr>
            <w:top w:val="none" w:sz="0" w:space="0" w:color="auto"/>
            <w:left w:val="none" w:sz="0" w:space="0" w:color="auto"/>
            <w:bottom w:val="none" w:sz="0" w:space="0" w:color="auto"/>
            <w:right w:val="none" w:sz="0" w:space="0" w:color="auto"/>
          </w:divBdr>
        </w:div>
        <w:div w:id="1097359753">
          <w:marLeft w:val="0"/>
          <w:marRight w:val="0"/>
          <w:marTop w:val="0"/>
          <w:marBottom w:val="0"/>
          <w:divBdr>
            <w:top w:val="none" w:sz="0" w:space="0" w:color="auto"/>
            <w:left w:val="none" w:sz="0" w:space="0" w:color="auto"/>
            <w:bottom w:val="none" w:sz="0" w:space="0" w:color="auto"/>
            <w:right w:val="none" w:sz="0" w:space="0" w:color="auto"/>
          </w:divBdr>
        </w:div>
        <w:div w:id="1834831202">
          <w:marLeft w:val="0"/>
          <w:marRight w:val="0"/>
          <w:marTop w:val="0"/>
          <w:marBottom w:val="0"/>
          <w:divBdr>
            <w:top w:val="none" w:sz="0" w:space="0" w:color="auto"/>
            <w:left w:val="none" w:sz="0" w:space="0" w:color="auto"/>
            <w:bottom w:val="none" w:sz="0" w:space="0" w:color="auto"/>
            <w:right w:val="none" w:sz="0" w:space="0" w:color="auto"/>
          </w:divBdr>
        </w:div>
        <w:div w:id="1355615529">
          <w:marLeft w:val="0"/>
          <w:marRight w:val="0"/>
          <w:marTop w:val="0"/>
          <w:marBottom w:val="0"/>
          <w:divBdr>
            <w:top w:val="none" w:sz="0" w:space="0" w:color="auto"/>
            <w:left w:val="none" w:sz="0" w:space="0" w:color="auto"/>
            <w:bottom w:val="none" w:sz="0" w:space="0" w:color="auto"/>
            <w:right w:val="none" w:sz="0" w:space="0" w:color="auto"/>
          </w:divBdr>
        </w:div>
        <w:div w:id="1571770535">
          <w:marLeft w:val="0"/>
          <w:marRight w:val="0"/>
          <w:marTop w:val="0"/>
          <w:marBottom w:val="0"/>
          <w:divBdr>
            <w:top w:val="none" w:sz="0" w:space="0" w:color="auto"/>
            <w:left w:val="none" w:sz="0" w:space="0" w:color="auto"/>
            <w:bottom w:val="none" w:sz="0" w:space="0" w:color="auto"/>
            <w:right w:val="none" w:sz="0" w:space="0" w:color="auto"/>
          </w:divBdr>
        </w:div>
        <w:div w:id="858852565">
          <w:marLeft w:val="0"/>
          <w:marRight w:val="0"/>
          <w:marTop w:val="0"/>
          <w:marBottom w:val="0"/>
          <w:divBdr>
            <w:top w:val="none" w:sz="0" w:space="0" w:color="auto"/>
            <w:left w:val="none" w:sz="0" w:space="0" w:color="auto"/>
            <w:bottom w:val="none" w:sz="0" w:space="0" w:color="auto"/>
            <w:right w:val="none" w:sz="0" w:space="0" w:color="auto"/>
          </w:divBdr>
        </w:div>
        <w:div w:id="1528182661">
          <w:marLeft w:val="0"/>
          <w:marRight w:val="0"/>
          <w:marTop w:val="0"/>
          <w:marBottom w:val="0"/>
          <w:divBdr>
            <w:top w:val="none" w:sz="0" w:space="0" w:color="auto"/>
            <w:left w:val="none" w:sz="0" w:space="0" w:color="auto"/>
            <w:bottom w:val="none" w:sz="0" w:space="0" w:color="auto"/>
            <w:right w:val="none" w:sz="0" w:space="0" w:color="auto"/>
          </w:divBdr>
        </w:div>
        <w:div w:id="97872917">
          <w:marLeft w:val="0"/>
          <w:marRight w:val="0"/>
          <w:marTop w:val="0"/>
          <w:marBottom w:val="0"/>
          <w:divBdr>
            <w:top w:val="none" w:sz="0" w:space="0" w:color="auto"/>
            <w:left w:val="none" w:sz="0" w:space="0" w:color="auto"/>
            <w:bottom w:val="none" w:sz="0" w:space="0" w:color="auto"/>
            <w:right w:val="none" w:sz="0" w:space="0" w:color="auto"/>
          </w:divBdr>
        </w:div>
        <w:div w:id="385378373">
          <w:marLeft w:val="0"/>
          <w:marRight w:val="0"/>
          <w:marTop w:val="0"/>
          <w:marBottom w:val="0"/>
          <w:divBdr>
            <w:top w:val="none" w:sz="0" w:space="0" w:color="auto"/>
            <w:left w:val="none" w:sz="0" w:space="0" w:color="auto"/>
            <w:bottom w:val="none" w:sz="0" w:space="0" w:color="auto"/>
            <w:right w:val="none" w:sz="0" w:space="0" w:color="auto"/>
          </w:divBdr>
        </w:div>
        <w:div w:id="971405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2020-04-26T11:29:00Z</dcterms:created>
  <dcterms:modified xsi:type="dcterms:W3CDTF">2020-04-26T11:29:00Z</dcterms:modified>
</cp:coreProperties>
</file>