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409" w:rsidRPr="00481409" w:rsidRDefault="00481409" w:rsidP="00481409">
      <w:pPr>
        <w:jc w:val="center"/>
        <w:rPr>
          <w:sz w:val="32"/>
          <w:szCs w:val="32"/>
        </w:rPr>
      </w:pPr>
      <w:bookmarkStart w:id="0" w:name="Anchor1"/>
      <w:bookmarkEnd w:id="0"/>
      <w:r w:rsidRPr="00481409">
        <w:rPr>
          <w:sz w:val="32"/>
          <w:szCs w:val="32"/>
          <w:rtl/>
        </w:rPr>
        <w:t>الطعن ر</w:t>
      </w:r>
      <w:bookmarkStart w:id="1" w:name="_GoBack"/>
      <w:bookmarkEnd w:id="1"/>
      <w:r w:rsidRPr="00481409">
        <w:rPr>
          <w:sz w:val="32"/>
          <w:szCs w:val="32"/>
          <w:rtl/>
        </w:rPr>
        <w:t xml:space="preserve">قم </w:t>
      </w:r>
      <w:r w:rsidRPr="00481409">
        <w:rPr>
          <w:sz w:val="32"/>
          <w:szCs w:val="32"/>
        </w:rPr>
        <w:t>2462/2013</w:t>
      </w:r>
    </w:p>
    <w:p w:rsidR="00481409" w:rsidRPr="00481409" w:rsidRDefault="00481409" w:rsidP="00481409">
      <w:pPr>
        <w:rPr>
          <w:sz w:val="32"/>
          <w:szCs w:val="32"/>
        </w:rPr>
      </w:pPr>
      <w:bookmarkStart w:id="2" w:name="Anchor7"/>
      <w:bookmarkEnd w:id="2"/>
      <w:r w:rsidRPr="00481409">
        <w:rPr>
          <w:sz w:val="32"/>
          <w:szCs w:val="32"/>
          <w:rtl/>
        </w:rPr>
        <w:t>هيئة المحكمة</w:t>
      </w:r>
      <w:r w:rsidRPr="00481409">
        <w:rPr>
          <w:sz w:val="32"/>
          <w:szCs w:val="32"/>
        </w:rPr>
        <w:t xml:space="preserve">: </w:t>
      </w:r>
      <w:r w:rsidRPr="00481409">
        <w:rPr>
          <w:sz w:val="32"/>
          <w:szCs w:val="32"/>
          <w:rtl/>
        </w:rPr>
        <w:t>برئاسة السيد المستشار يونس محمد الياسين وكيل المحكمة وعضوية السادة المستشارين عادل علي البحوه ومحمد رشدي وإبراهيم الضبع وهشام فروايلة</w:t>
      </w:r>
    </w:p>
    <w:bookmarkStart w:id="3" w:name="Anchor27"/>
    <w:bookmarkEnd w:id="3"/>
    <w:p w:rsidR="00481409" w:rsidRPr="00481409" w:rsidRDefault="00481409" w:rsidP="00481409">
      <w:pPr>
        <w:rPr>
          <w:sz w:val="32"/>
          <w:szCs w:val="32"/>
        </w:rPr>
      </w:pPr>
      <w:r w:rsidRPr="00481409">
        <w:rPr>
          <w:sz w:val="32"/>
          <w:szCs w:val="32"/>
        </w:rPr>
        <w:fldChar w:fldCharType="begin"/>
      </w:r>
      <w:r w:rsidRPr="00481409">
        <w:rPr>
          <w:sz w:val="32"/>
          <w:szCs w:val="32"/>
        </w:rPr>
        <w:instrText xml:space="preserve"> HYPERLINK "http://www.law.gov.kw/KWT_CC-Ar/00_2014/00_%D8%A7%D9%84%D8%AF%D8%A7%D8%A6%D8%B1%D8%A9%20%D8%A7%D9%84%D8%AA%D8%AC%D8%A7%D8%B1%D9%8A%D8%A9/KWT-CC-Ar_2014-11-10_02462_Taan.html" \l "TM2014_2462_1" </w:instrText>
      </w:r>
      <w:r w:rsidRPr="00481409">
        <w:rPr>
          <w:sz w:val="32"/>
          <w:szCs w:val="32"/>
        </w:rPr>
        <w:fldChar w:fldCharType="separate"/>
      </w:r>
      <w:r w:rsidRPr="00481409">
        <w:rPr>
          <w:rStyle w:val="Hyperlink"/>
          <w:sz w:val="32"/>
          <w:szCs w:val="32"/>
        </w:rPr>
        <w:t xml:space="preserve">1 – </w:t>
      </w:r>
      <w:r w:rsidRPr="00481409">
        <w:rPr>
          <w:rStyle w:val="Hyperlink"/>
          <w:sz w:val="32"/>
          <w:szCs w:val="32"/>
          <w:rtl/>
        </w:rPr>
        <w:t>إن لمحكمة الموضوع السلطة في تفسير العقود والشروط المختلف عليها حسب نية المتعاقدين واعتبار المتعاقد مُقصراً في تنفيذ إلتزاماته حسب الادلة المقدمة شرط إقامة قضائها على اسباب سائغة</w:t>
      </w:r>
      <w:r w:rsidRPr="00481409">
        <w:rPr>
          <w:rStyle w:val="Hyperlink"/>
          <w:sz w:val="32"/>
          <w:szCs w:val="32"/>
        </w:rPr>
        <w:t>.</w:t>
      </w:r>
      <w:r w:rsidRPr="00481409">
        <w:rPr>
          <w:sz w:val="32"/>
          <w:szCs w:val="32"/>
        </w:rPr>
        <w:fldChar w:fldCharType="end"/>
      </w:r>
    </w:p>
    <w:bookmarkStart w:id="4" w:name="Anchor47"/>
    <w:bookmarkEnd w:id="4"/>
    <w:p w:rsidR="00481409" w:rsidRPr="00481409" w:rsidRDefault="00481409" w:rsidP="00481409">
      <w:pPr>
        <w:rPr>
          <w:sz w:val="32"/>
          <w:szCs w:val="32"/>
        </w:rPr>
      </w:pPr>
      <w:r w:rsidRPr="00481409">
        <w:rPr>
          <w:sz w:val="32"/>
          <w:szCs w:val="32"/>
        </w:rPr>
        <w:fldChar w:fldCharType="begin"/>
      </w:r>
      <w:r w:rsidRPr="00481409">
        <w:rPr>
          <w:sz w:val="32"/>
          <w:szCs w:val="32"/>
        </w:rPr>
        <w:instrText xml:space="preserve"> HYPERLINK "http://www.law.gov.kw/KWT_CC-Ar/00_2014/00_%D8%A7%D9%84%D8%AF%D8%A7%D8%A6%D8%B1%D8%A9%20%D8%A7%D9%84%D8%AA%D8%AC%D8%A7%D8%B1%D9%8A%D8%A9/KWT-CC-Ar_2014-11-10_02462_Taan.html" \l "TM2014_2462_2" </w:instrText>
      </w:r>
      <w:r w:rsidRPr="00481409">
        <w:rPr>
          <w:sz w:val="32"/>
          <w:szCs w:val="32"/>
        </w:rPr>
        <w:fldChar w:fldCharType="separate"/>
      </w:r>
      <w:r w:rsidRPr="00481409">
        <w:rPr>
          <w:rStyle w:val="Hyperlink"/>
          <w:sz w:val="32"/>
          <w:szCs w:val="32"/>
        </w:rPr>
        <w:t xml:space="preserve">2 – </w:t>
      </w:r>
      <w:r w:rsidRPr="00481409">
        <w:rPr>
          <w:rStyle w:val="Hyperlink"/>
          <w:sz w:val="32"/>
          <w:szCs w:val="32"/>
          <w:rtl/>
        </w:rPr>
        <w:t>إنتهاء محكمة الموضوع الى القضاء بعدم إلزام المؤجر بالتعويض على المستأجر نتيجة عدم تمكنه من الانتفاع من العين المؤجرة بعد إنتفاء علاقة المؤجر او تدخلة بذلك</w:t>
      </w:r>
      <w:r w:rsidRPr="00481409">
        <w:rPr>
          <w:rStyle w:val="Hyperlink"/>
          <w:sz w:val="32"/>
          <w:szCs w:val="32"/>
        </w:rPr>
        <w:t>.</w:t>
      </w:r>
      <w:r w:rsidRPr="00481409">
        <w:rPr>
          <w:sz w:val="32"/>
          <w:szCs w:val="32"/>
        </w:rPr>
        <w:fldChar w:fldCharType="end"/>
      </w:r>
      <w:r w:rsidRPr="00481409">
        <w:rPr>
          <w:sz w:val="32"/>
          <w:szCs w:val="32"/>
        </w:rPr>
        <w:br/>
      </w:r>
      <w:r w:rsidRPr="00481409">
        <w:rPr>
          <w:sz w:val="32"/>
          <w:szCs w:val="32"/>
        </w:rPr>
        <w:br/>
      </w:r>
      <w:r w:rsidRPr="00481409">
        <w:rPr>
          <w:sz w:val="32"/>
          <w:szCs w:val="32"/>
          <w:u w:val="single"/>
          <w:rtl/>
        </w:rPr>
        <w:t>ملاحظة</w:t>
      </w:r>
      <w:r w:rsidRPr="00481409">
        <w:rPr>
          <w:sz w:val="32"/>
          <w:szCs w:val="32"/>
          <w:u w:val="single"/>
        </w:rPr>
        <w:t xml:space="preserve"> :</w:t>
      </w:r>
      <w:r w:rsidRPr="00481409">
        <w:rPr>
          <w:sz w:val="32"/>
          <w:szCs w:val="32"/>
        </w:rPr>
        <w:br/>
      </w:r>
      <w:r w:rsidRPr="00481409">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481409" w:rsidRPr="00481409" w:rsidRDefault="00481409" w:rsidP="00481409">
      <w:pPr>
        <w:rPr>
          <w:sz w:val="32"/>
          <w:szCs w:val="32"/>
        </w:rPr>
      </w:pPr>
      <w:bookmarkStart w:id="5" w:name="Anchor63"/>
      <w:bookmarkEnd w:id="5"/>
      <w:r w:rsidRPr="00481409">
        <w:rPr>
          <w:b/>
          <w:bCs/>
          <w:sz w:val="32"/>
          <w:szCs w:val="32"/>
          <w:rtl/>
        </w:rPr>
        <w:t>المحكمــة</w:t>
      </w:r>
    </w:p>
    <w:p w:rsidR="00481409" w:rsidRPr="00481409" w:rsidRDefault="00481409" w:rsidP="00481409">
      <w:pPr>
        <w:rPr>
          <w:sz w:val="32"/>
          <w:szCs w:val="32"/>
        </w:rPr>
      </w:pPr>
      <w:bookmarkStart w:id="6" w:name="Anchor64"/>
      <w:bookmarkEnd w:id="6"/>
      <w:r w:rsidRPr="00481409">
        <w:rPr>
          <w:sz w:val="32"/>
          <w:szCs w:val="32"/>
          <w:rtl/>
        </w:rPr>
        <w:t>بعد الاطلاع على الأوراق، والمداولة</w:t>
      </w:r>
      <w:r w:rsidRPr="00481409">
        <w:rPr>
          <w:sz w:val="32"/>
          <w:szCs w:val="32"/>
        </w:rPr>
        <w:t>.</w:t>
      </w:r>
    </w:p>
    <w:p w:rsidR="00481409" w:rsidRPr="00481409" w:rsidRDefault="00481409" w:rsidP="00481409">
      <w:pPr>
        <w:rPr>
          <w:sz w:val="32"/>
          <w:szCs w:val="32"/>
        </w:rPr>
      </w:pPr>
      <w:bookmarkStart w:id="7" w:name="Anchor68"/>
      <w:bookmarkStart w:id="8" w:name="TM2014_2462_1"/>
      <w:bookmarkEnd w:id="7"/>
      <w:bookmarkEnd w:id="8"/>
      <w:r w:rsidRPr="00481409">
        <w:rPr>
          <w:b/>
          <w:bCs/>
          <w:sz w:val="32"/>
          <w:szCs w:val="32"/>
          <w:rtl/>
        </w:rPr>
        <w:t>لما كان لمحكمة الموضوع السلطة في تحصيل وفهم الواقع في الدعوى وبحث الأدلة والمستندات المقدمة فيها، ولها سلطة تفسير العقود والشروط المختلف عليها بما تراه أوفى بمقصود عاقديها، كما أن لها السلطة في اعتبار المتعاقد مقصراً أو غير مقصر في تنفيذ التزاماته حسبما يتراءى لها من الأدلة المقدمة متى أقامت قضاءها على اعتبارات معقولة، وهي غير ملزمة بإعادة الأوراق للخبير أو ندب خبير غيره ما دامت قد وجدت في أوراقها ومستنداتها ما يكفي لتكوين عقيدتها</w:t>
      </w:r>
    </w:p>
    <w:p w:rsidR="00481409" w:rsidRPr="00481409" w:rsidRDefault="00481409" w:rsidP="00481409">
      <w:pPr>
        <w:rPr>
          <w:sz w:val="32"/>
          <w:szCs w:val="32"/>
        </w:rPr>
      </w:pPr>
      <w:bookmarkStart w:id="9" w:name="Anchor111"/>
      <w:bookmarkStart w:id="10" w:name="TM2014_2462_2"/>
      <w:bookmarkEnd w:id="9"/>
      <w:bookmarkEnd w:id="10"/>
      <w:r w:rsidRPr="00481409">
        <w:rPr>
          <w:b/>
          <w:bCs/>
          <w:sz w:val="32"/>
          <w:szCs w:val="32"/>
          <w:rtl/>
        </w:rPr>
        <w:t xml:space="preserve">وكان الحكم المطعون فيه قد أقام قضاءه بإلغاء الحكم الابتدائي ورفض الدعوى على ما استخلصه من الأوراق أن الطاعنة استأجرت من الشركة المطعون ضدها المحل المبين بالعقد لمزاولة نشاط بيع الهدايا والكماليات والتزمت في العقد بالحصول على التراخـيص التجارية والتراخيص الأخرى اللازمة لممارسة النشاط في العين وأنها سـبق أن استصدرت من وزارة التجارة الترخيص رقـم م /167/ 2009 بتاريخ 2009/1/22 لمباشرة نشاط الكماليات والهدايا والحقائب ولم تتمكن من تجديد الترخيص لعدم موافقة البلدية وهو مفاده أن عدم تمكن الطاعنة </w:t>
      </w:r>
      <w:r w:rsidRPr="00481409">
        <w:rPr>
          <w:b/>
          <w:bCs/>
          <w:sz w:val="32"/>
          <w:szCs w:val="32"/>
          <w:rtl/>
        </w:rPr>
        <w:lastRenderedPageBreak/>
        <w:t>من الانتفاع بالعين بعد الحصول على الترخيص التجاري بمزاولة النشاط يرجع إلى تعرض الجهة الإدارية المتمثل في وقف التراخيص بالمنطقة لغير الأنشطة الحرفية والتي ليس من بينها النشاط المؤجر من اجله عين النزاع</w:t>
      </w:r>
      <w:r w:rsidRPr="00481409">
        <w:rPr>
          <w:b/>
          <w:bCs/>
          <w:sz w:val="32"/>
          <w:szCs w:val="32"/>
        </w:rPr>
        <w:t xml:space="preserve">. </w:t>
      </w:r>
      <w:r w:rsidRPr="00481409">
        <w:rPr>
          <w:b/>
          <w:bCs/>
          <w:sz w:val="32"/>
          <w:szCs w:val="32"/>
          <w:rtl/>
        </w:rPr>
        <w:t>وإذا خلت الأوراق مما يفيد تدخل المطعون ضدها فيما أقدمت عليه الجهة الإدارية ومن ثم لا يحق للطاعنة الرجوع عليها بالتعويض عما أصابها من ضرر، ولا حاجة للمحكمة بإعادة الدعوى إلى الخبرة بعد أن وجدت في أوراقها ما يكفي لتكوين عقيدتها، وإذا كان ذلك الحكم سائغاً وله أصله الثابت في الأورق ويكفي لحمل قضاءه فإن ما تثيره الطاعنة بأسباب الطعن لا يعدو أن يكون جدلاً فيما لمحكمة الموضوع من سلطة تقديرية ويضحى الطعن غير مقبول عملاً بالمادتين 152، 154/5 من قانون المرافعات</w:t>
      </w:r>
      <w:r w:rsidRPr="00481409">
        <w:rPr>
          <w:b/>
          <w:bCs/>
          <w:sz w:val="32"/>
          <w:szCs w:val="32"/>
        </w:rPr>
        <w:t>.</w:t>
      </w:r>
    </w:p>
    <w:p w:rsidR="00481409" w:rsidRPr="00481409" w:rsidRDefault="00481409" w:rsidP="00481409">
      <w:pPr>
        <w:rPr>
          <w:sz w:val="32"/>
          <w:szCs w:val="32"/>
        </w:rPr>
      </w:pPr>
      <w:bookmarkStart w:id="11" w:name="Anchor219"/>
      <w:bookmarkEnd w:id="11"/>
      <w:r w:rsidRPr="00481409">
        <w:rPr>
          <w:sz w:val="32"/>
          <w:szCs w:val="32"/>
          <w:rtl/>
        </w:rPr>
        <w:t>لذلك</w:t>
      </w:r>
    </w:p>
    <w:p w:rsidR="00481409" w:rsidRPr="00481409" w:rsidRDefault="00481409" w:rsidP="00481409">
      <w:pPr>
        <w:rPr>
          <w:sz w:val="32"/>
          <w:szCs w:val="32"/>
        </w:rPr>
      </w:pPr>
      <w:bookmarkStart w:id="12" w:name="Anchor220"/>
      <w:bookmarkEnd w:id="12"/>
      <w:r w:rsidRPr="00481409">
        <w:rPr>
          <w:sz w:val="32"/>
          <w:szCs w:val="32"/>
          <w:rtl/>
        </w:rPr>
        <w:t xml:space="preserve">قررت المحكمة </w:t>
      </w:r>
      <w:r w:rsidRPr="00481409">
        <w:rPr>
          <w:sz w:val="32"/>
          <w:szCs w:val="32"/>
        </w:rPr>
        <w:t xml:space="preserve">– </w:t>
      </w:r>
      <w:r w:rsidRPr="00481409">
        <w:rPr>
          <w:sz w:val="32"/>
          <w:szCs w:val="32"/>
          <w:rtl/>
        </w:rPr>
        <w:t>في غرفة المشورة</w:t>
      </w:r>
      <w:r w:rsidRPr="00481409">
        <w:rPr>
          <w:sz w:val="32"/>
          <w:szCs w:val="32"/>
        </w:rPr>
        <w:t xml:space="preserve">- </w:t>
      </w:r>
      <w:r w:rsidRPr="00481409">
        <w:rPr>
          <w:sz w:val="32"/>
          <w:szCs w:val="32"/>
          <w:rtl/>
        </w:rPr>
        <w:t>عدم قبول الطعن وألزمت الطاعنة المصروفات وعشرين دينار مقابل أتعاب المحاماة مع مصادرة الكفالة</w:t>
      </w:r>
      <w:r w:rsidRPr="00481409">
        <w:rPr>
          <w:sz w:val="32"/>
          <w:szCs w:val="32"/>
        </w:rPr>
        <w:t>.</w:t>
      </w:r>
    </w:p>
    <w:p w:rsidR="00481409" w:rsidRPr="00481409" w:rsidRDefault="00481409" w:rsidP="00481409">
      <w:pPr>
        <w:rPr>
          <w:sz w:val="32"/>
          <w:szCs w:val="32"/>
        </w:rPr>
      </w:pPr>
    </w:p>
    <w:p w:rsidR="00481409" w:rsidRPr="00481409" w:rsidRDefault="00481409" w:rsidP="00481409">
      <w:pPr>
        <w:rPr>
          <w:sz w:val="32"/>
          <w:szCs w:val="32"/>
        </w:rPr>
      </w:pPr>
      <w:bookmarkStart w:id="13" w:name="Anchor235"/>
      <w:bookmarkEnd w:id="13"/>
      <w:r w:rsidRPr="00481409">
        <w:rPr>
          <w:sz w:val="32"/>
          <w:szCs w:val="32"/>
        </w:rPr>
        <w:t>* * *</w:t>
      </w:r>
    </w:p>
    <w:p w:rsidR="008C2BA0" w:rsidRPr="00481409" w:rsidRDefault="008C2BA0">
      <w:pPr>
        <w:rPr>
          <w:sz w:val="32"/>
          <w:szCs w:val="32"/>
        </w:rPr>
      </w:pPr>
    </w:p>
    <w:sectPr w:rsidR="008C2BA0" w:rsidRPr="0048140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9DA"/>
    <w:rsid w:val="0003272B"/>
    <w:rsid w:val="00481409"/>
    <w:rsid w:val="008329DA"/>
    <w:rsid w:val="008C2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14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14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655941">
      <w:bodyDiv w:val="1"/>
      <w:marLeft w:val="0"/>
      <w:marRight w:val="0"/>
      <w:marTop w:val="0"/>
      <w:marBottom w:val="0"/>
      <w:divBdr>
        <w:top w:val="none" w:sz="0" w:space="0" w:color="auto"/>
        <w:left w:val="none" w:sz="0" w:space="0" w:color="auto"/>
        <w:bottom w:val="none" w:sz="0" w:space="0" w:color="auto"/>
        <w:right w:val="none" w:sz="0" w:space="0" w:color="auto"/>
      </w:divBdr>
      <w:divsChild>
        <w:div w:id="238104369">
          <w:marLeft w:val="0"/>
          <w:marRight w:val="0"/>
          <w:marTop w:val="0"/>
          <w:marBottom w:val="0"/>
          <w:divBdr>
            <w:top w:val="none" w:sz="0" w:space="0" w:color="auto"/>
            <w:left w:val="none" w:sz="0" w:space="0" w:color="auto"/>
            <w:bottom w:val="none" w:sz="0" w:space="0" w:color="auto"/>
            <w:right w:val="none" w:sz="0" w:space="0" w:color="auto"/>
          </w:divBdr>
        </w:div>
        <w:div w:id="92363709">
          <w:marLeft w:val="0"/>
          <w:marRight w:val="0"/>
          <w:marTop w:val="0"/>
          <w:marBottom w:val="0"/>
          <w:divBdr>
            <w:top w:val="none" w:sz="0" w:space="0" w:color="auto"/>
            <w:left w:val="none" w:sz="0" w:space="0" w:color="auto"/>
            <w:bottom w:val="none" w:sz="0" w:space="0" w:color="auto"/>
            <w:right w:val="none" w:sz="0" w:space="0" w:color="auto"/>
          </w:divBdr>
        </w:div>
        <w:div w:id="198713275">
          <w:marLeft w:val="0"/>
          <w:marRight w:val="0"/>
          <w:marTop w:val="0"/>
          <w:marBottom w:val="0"/>
          <w:divBdr>
            <w:top w:val="none" w:sz="0" w:space="0" w:color="auto"/>
            <w:left w:val="none" w:sz="0" w:space="0" w:color="auto"/>
            <w:bottom w:val="none" w:sz="0" w:space="0" w:color="auto"/>
            <w:right w:val="none" w:sz="0" w:space="0" w:color="auto"/>
          </w:divBdr>
        </w:div>
        <w:div w:id="1334992554">
          <w:marLeft w:val="0"/>
          <w:marRight w:val="0"/>
          <w:marTop w:val="0"/>
          <w:marBottom w:val="0"/>
          <w:divBdr>
            <w:top w:val="none" w:sz="0" w:space="0" w:color="auto"/>
            <w:left w:val="none" w:sz="0" w:space="0" w:color="auto"/>
            <w:bottom w:val="none" w:sz="0" w:space="0" w:color="auto"/>
            <w:right w:val="none" w:sz="0" w:space="0" w:color="auto"/>
          </w:divBdr>
        </w:div>
        <w:div w:id="1243371171">
          <w:marLeft w:val="0"/>
          <w:marRight w:val="0"/>
          <w:marTop w:val="0"/>
          <w:marBottom w:val="0"/>
          <w:divBdr>
            <w:top w:val="none" w:sz="0" w:space="0" w:color="auto"/>
            <w:left w:val="none" w:sz="0" w:space="0" w:color="auto"/>
            <w:bottom w:val="none" w:sz="0" w:space="0" w:color="auto"/>
            <w:right w:val="none" w:sz="0" w:space="0" w:color="auto"/>
          </w:divBdr>
        </w:div>
        <w:div w:id="1012142440">
          <w:marLeft w:val="0"/>
          <w:marRight w:val="0"/>
          <w:marTop w:val="0"/>
          <w:marBottom w:val="0"/>
          <w:divBdr>
            <w:top w:val="none" w:sz="0" w:space="0" w:color="auto"/>
            <w:left w:val="none" w:sz="0" w:space="0" w:color="auto"/>
            <w:bottom w:val="none" w:sz="0" w:space="0" w:color="auto"/>
            <w:right w:val="none" w:sz="0" w:space="0" w:color="auto"/>
          </w:divBdr>
        </w:div>
        <w:div w:id="1591743745">
          <w:marLeft w:val="0"/>
          <w:marRight w:val="0"/>
          <w:marTop w:val="0"/>
          <w:marBottom w:val="0"/>
          <w:divBdr>
            <w:top w:val="none" w:sz="0" w:space="0" w:color="auto"/>
            <w:left w:val="none" w:sz="0" w:space="0" w:color="auto"/>
            <w:bottom w:val="none" w:sz="0" w:space="0" w:color="auto"/>
            <w:right w:val="none" w:sz="0" w:space="0" w:color="auto"/>
          </w:divBdr>
        </w:div>
        <w:div w:id="1587806579">
          <w:marLeft w:val="0"/>
          <w:marRight w:val="0"/>
          <w:marTop w:val="0"/>
          <w:marBottom w:val="0"/>
          <w:divBdr>
            <w:top w:val="none" w:sz="0" w:space="0" w:color="auto"/>
            <w:left w:val="none" w:sz="0" w:space="0" w:color="auto"/>
            <w:bottom w:val="none" w:sz="0" w:space="0" w:color="auto"/>
            <w:right w:val="none" w:sz="0" w:space="0" w:color="auto"/>
          </w:divBdr>
        </w:div>
        <w:div w:id="729769313">
          <w:marLeft w:val="0"/>
          <w:marRight w:val="0"/>
          <w:marTop w:val="0"/>
          <w:marBottom w:val="0"/>
          <w:divBdr>
            <w:top w:val="none" w:sz="0" w:space="0" w:color="auto"/>
            <w:left w:val="none" w:sz="0" w:space="0" w:color="auto"/>
            <w:bottom w:val="none" w:sz="0" w:space="0" w:color="auto"/>
            <w:right w:val="none" w:sz="0" w:space="0" w:color="auto"/>
          </w:divBdr>
        </w:div>
        <w:div w:id="1561213242">
          <w:marLeft w:val="0"/>
          <w:marRight w:val="0"/>
          <w:marTop w:val="0"/>
          <w:marBottom w:val="0"/>
          <w:divBdr>
            <w:top w:val="none" w:sz="0" w:space="0" w:color="auto"/>
            <w:left w:val="none" w:sz="0" w:space="0" w:color="auto"/>
            <w:bottom w:val="none" w:sz="0" w:space="0" w:color="auto"/>
            <w:right w:val="none" w:sz="0" w:space="0" w:color="auto"/>
          </w:divBdr>
        </w:div>
        <w:div w:id="223487393">
          <w:marLeft w:val="0"/>
          <w:marRight w:val="0"/>
          <w:marTop w:val="0"/>
          <w:marBottom w:val="0"/>
          <w:divBdr>
            <w:top w:val="none" w:sz="0" w:space="0" w:color="auto"/>
            <w:left w:val="none" w:sz="0" w:space="0" w:color="auto"/>
            <w:bottom w:val="none" w:sz="0" w:space="0" w:color="auto"/>
            <w:right w:val="none" w:sz="0" w:space="0" w:color="auto"/>
          </w:divBdr>
        </w:div>
      </w:divsChild>
    </w:div>
    <w:div w:id="1072462092">
      <w:bodyDiv w:val="1"/>
      <w:marLeft w:val="0"/>
      <w:marRight w:val="0"/>
      <w:marTop w:val="0"/>
      <w:marBottom w:val="0"/>
      <w:divBdr>
        <w:top w:val="none" w:sz="0" w:space="0" w:color="auto"/>
        <w:left w:val="none" w:sz="0" w:space="0" w:color="auto"/>
        <w:bottom w:val="none" w:sz="0" w:space="0" w:color="auto"/>
        <w:right w:val="none" w:sz="0" w:space="0" w:color="auto"/>
      </w:divBdr>
      <w:divsChild>
        <w:div w:id="163787971">
          <w:marLeft w:val="0"/>
          <w:marRight w:val="0"/>
          <w:marTop w:val="0"/>
          <w:marBottom w:val="0"/>
          <w:divBdr>
            <w:top w:val="none" w:sz="0" w:space="0" w:color="auto"/>
            <w:left w:val="none" w:sz="0" w:space="0" w:color="auto"/>
            <w:bottom w:val="none" w:sz="0" w:space="0" w:color="auto"/>
            <w:right w:val="none" w:sz="0" w:space="0" w:color="auto"/>
          </w:divBdr>
        </w:div>
        <w:div w:id="898513736">
          <w:marLeft w:val="0"/>
          <w:marRight w:val="0"/>
          <w:marTop w:val="0"/>
          <w:marBottom w:val="0"/>
          <w:divBdr>
            <w:top w:val="none" w:sz="0" w:space="0" w:color="auto"/>
            <w:left w:val="none" w:sz="0" w:space="0" w:color="auto"/>
            <w:bottom w:val="none" w:sz="0" w:space="0" w:color="auto"/>
            <w:right w:val="none" w:sz="0" w:space="0" w:color="auto"/>
          </w:divBdr>
        </w:div>
        <w:div w:id="1215970777">
          <w:marLeft w:val="0"/>
          <w:marRight w:val="0"/>
          <w:marTop w:val="0"/>
          <w:marBottom w:val="0"/>
          <w:divBdr>
            <w:top w:val="none" w:sz="0" w:space="0" w:color="auto"/>
            <w:left w:val="none" w:sz="0" w:space="0" w:color="auto"/>
            <w:bottom w:val="none" w:sz="0" w:space="0" w:color="auto"/>
            <w:right w:val="none" w:sz="0" w:space="0" w:color="auto"/>
          </w:divBdr>
        </w:div>
        <w:div w:id="1387338426">
          <w:marLeft w:val="0"/>
          <w:marRight w:val="0"/>
          <w:marTop w:val="0"/>
          <w:marBottom w:val="0"/>
          <w:divBdr>
            <w:top w:val="none" w:sz="0" w:space="0" w:color="auto"/>
            <w:left w:val="none" w:sz="0" w:space="0" w:color="auto"/>
            <w:bottom w:val="none" w:sz="0" w:space="0" w:color="auto"/>
            <w:right w:val="none" w:sz="0" w:space="0" w:color="auto"/>
          </w:divBdr>
        </w:div>
        <w:div w:id="1826965763">
          <w:marLeft w:val="0"/>
          <w:marRight w:val="0"/>
          <w:marTop w:val="0"/>
          <w:marBottom w:val="0"/>
          <w:divBdr>
            <w:top w:val="none" w:sz="0" w:space="0" w:color="auto"/>
            <w:left w:val="none" w:sz="0" w:space="0" w:color="auto"/>
            <w:bottom w:val="none" w:sz="0" w:space="0" w:color="auto"/>
            <w:right w:val="none" w:sz="0" w:space="0" w:color="auto"/>
          </w:divBdr>
        </w:div>
        <w:div w:id="687146358">
          <w:marLeft w:val="0"/>
          <w:marRight w:val="0"/>
          <w:marTop w:val="0"/>
          <w:marBottom w:val="0"/>
          <w:divBdr>
            <w:top w:val="none" w:sz="0" w:space="0" w:color="auto"/>
            <w:left w:val="none" w:sz="0" w:space="0" w:color="auto"/>
            <w:bottom w:val="none" w:sz="0" w:space="0" w:color="auto"/>
            <w:right w:val="none" w:sz="0" w:space="0" w:color="auto"/>
          </w:divBdr>
        </w:div>
        <w:div w:id="436220965">
          <w:marLeft w:val="0"/>
          <w:marRight w:val="0"/>
          <w:marTop w:val="0"/>
          <w:marBottom w:val="0"/>
          <w:divBdr>
            <w:top w:val="none" w:sz="0" w:space="0" w:color="auto"/>
            <w:left w:val="none" w:sz="0" w:space="0" w:color="auto"/>
            <w:bottom w:val="none" w:sz="0" w:space="0" w:color="auto"/>
            <w:right w:val="none" w:sz="0" w:space="0" w:color="auto"/>
          </w:divBdr>
        </w:div>
        <w:div w:id="313029388">
          <w:marLeft w:val="0"/>
          <w:marRight w:val="0"/>
          <w:marTop w:val="0"/>
          <w:marBottom w:val="0"/>
          <w:divBdr>
            <w:top w:val="none" w:sz="0" w:space="0" w:color="auto"/>
            <w:left w:val="none" w:sz="0" w:space="0" w:color="auto"/>
            <w:bottom w:val="none" w:sz="0" w:space="0" w:color="auto"/>
            <w:right w:val="none" w:sz="0" w:space="0" w:color="auto"/>
          </w:divBdr>
        </w:div>
        <w:div w:id="971398290">
          <w:marLeft w:val="0"/>
          <w:marRight w:val="0"/>
          <w:marTop w:val="0"/>
          <w:marBottom w:val="0"/>
          <w:divBdr>
            <w:top w:val="none" w:sz="0" w:space="0" w:color="auto"/>
            <w:left w:val="none" w:sz="0" w:space="0" w:color="auto"/>
            <w:bottom w:val="none" w:sz="0" w:space="0" w:color="auto"/>
            <w:right w:val="none" w:sz="0" w:space="0" w:color="auto"/>
          </w:divBdr>
        </w:div>
        <w:div w:id="1596788754">
          <w:marLeft w:val="0"/>
          <w:marRight w:val="0"/>
          <w:marTop w:val="0"/>
          <w:marBottom w:val="0"/>
          <w:divBdr>
            <w:top w:val="none" w:sz="0" w:space="0" w:color="auto"/>
            <w:left w:val="none" w:sz="0" w:space="0" w:color="auto"/>
            <w:bottom w:val="none" w:sz="0" w:space="0" w:color="auto"/>
            <w:right w:val="none" w:sz="0" w:space="0" w:color="auto"/>
          </w:divBdr>
        </w:div>
        <w:div w:id="100302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2020-04-26T11:29:00Z</dcterms:created>
  <dcterms:modified xsi:type="dcterms:W3CDTF">2020-04-26T11:29:00Z</dcterms:modified>
</cp:coreProperties>
</file>