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E6" w:rsidRPr="001001E6" w:rsidRDefault="001001E6" w:rsidP="001001E6">
      <w:pPr>
        <w:jc w:val="center"/>
        <w:rPr>
          <w:sz w:val="32"/>
          <w:szCs w:val="32"/>
        </w:rPr>
      </w:pPr>
      <w:bookmarkStart w:id="0" w:name="Anchor1"/>
      <w:bookmarkEnd w:id="0"/>
      <w:r w:rsidRPr="001001E6">
        <w:rPr>
          <w:sz w:val="32"/>
          <w:szCs w:val="32"/>
          <w:rtl/>
        </w:rPr>
        <w:t>الطعن رقم 2</w:t>
      </w:r>
      <w:bookmarkStart w:id="1" w:name="_GoBack"/>
      <w:bookmarkEnd w:id="1"/>
      <w:r w:rsidRPr="001001E6">
        <w:rPr>
          <w:sz w:val="32"/>
          <w:szCs w:val="32"/>
          <w:rtl/>
        </w:rPr>
        <w:t>84/2011</w:t>
      </w:r>
    </w:p>
    <w:p w:rsidR="001001E6" w:rsidRPr="001001E6" w:rsidRDefault="001001E6" w:rsidP="001001E6">
      <w:pPr>
        <w:rPr>
          <w:sz w:val="32"/>
          <w:szCs w:val="32"/>
        </w:rPr>
      </w:pPr>
      <w:bookmarkStart w:id="2" w:name="Anchor6"/>
      <w:bookmarkEnd w:id="2"/>
      <w:r w:rsidRPr="001001E6">
        <w:rPr>
          <w:sz w:val="32"/>
          <w:szCs w:val="32"/>
          <w:rtl/>
        </w:rPr>
        <w:t>هيئة المحكمة</w:t>
      </w:r>
      <w:r w:rsidRPr="001001E6">
        <w:rPr>
          <w:sz w:val="32"/>
          <w:szCs w:val="32"/>
        </w:rPr>
        <w:t xml:space="preserve">: </w:t>
      </w:r>
      <w:r w:rsidRPr="001001E6">
        <w:rPr>
          <w:sz w:val="32"/>
          <w:szCs w:val="32"/>
          <w:rtl/>
        </w:rPr>
        <w:t>برئاسة السيد المستشار ممدوح يوسف وكيل المحكمة وعضوية السادة المستشارين عادل الحناوي وسيد الدليل ولا شين إبراهيم وخالد مقلد</w:t>
      </w:r>
    </w:p>
    <w:bookmarkStart w:id="3" w:name="Anchor20"/>
    <w:bookmarkEnd w:id="3"/>
    <w:p w:rsidR="001001E6" w:rsidRPr="001001E6" w:rsidRDefault="001001E6" w:rsidP="001001E6">
      <w:pPr>
        <w:rPr>
          <w:sz w:val="32"/>
          <w:szCs w:val="32"/>
        </w:rPr>
      </w:pPr>
      <w:r w:rsidRPr="001001E6">
        <w:rPr>
          <w:sz w:val="32"/>
          <w:szCs w:val="32"/>
        </w:rPr>
        <w:fldChar w:fldCharType="begin"/>
      </w:r>
      <w:r w:rsidRPr="001001E6">
        <w:rPr>
          <w:sz w:val="32"/>
          <w:szCs w:val="32"/>
        </w:rPr>
        <w:instrText xml:space="preserve"> HYPERLINK "http://www.law.gov.kw/KWT_CC-Ar/00_2014/00_%D8%A7%D9%84%D8%AF%D8%A7%D8%A6%D8%B1%D8%A9%20%D8%A7%D9%84%D8%AC%D8%B2%D8%A7%D8%A6%D9%8A%D8%A9/KWT-CC-Ar_2014-05-12_00284_Taan.html" \l "TM2014_284_1" </w:instrText>
      </w:r>
      <w:r w:rsidRPr="001001E6">
        <w:rPr>
          <w:sz w:val="32"/>
          <w:szCs w:val="32"/>
        </w:rPr>
        <w:fldChar w:fldCharType="separate"/>
      </w:r>
      <w:r w:rsidRPr="001001E6">
        <w:rPr>
          <w:rStyle w:val="Hyperlink"/>
          <w:sz w:val="32"/>
          <w:szCs w:val="32"/>
        </w:rPr>
        <w:t xml:space="preserve">1- </w:t>
      </w:r>
      <w:r w:rsidRPr="001001E6">
        <w:rPr>
          <w:rStyle w:val="Hyperlink"/>
          <w:sz w:val="32"/>
          <w:szCs w:val="32"/>
          <w:rtl/>
        </w:rPr>
        <w:t>إن النظر في شكل الطعن يكون بعد الفصل في جوازه</w:t>
      </w:r>
      <w:r w:rsidRPr="001001E6">
        <w:rPr>
          <w:rStyle w:val="Hyperlink"/>
          <w:sz w:val="32"/>
          <w:szCs w:val="32"/>
        </w:rPr>
        <w:t>.</w:t>
      </w:r>
      <w:r w:rsidRPr="001001E6">
        <w:rPr>
          <w:sz w:val="32"/>
          <w:szCs w:val="32"/>
        </w:rPr>
        <w:fldChar w:fldCharType="end"/>
      </w:r>
    </w:p>
    <w:bookmarkStart w:id="4" w:name="Anchor26"/>
    <w:bookmarkEnd w:id="4"/>
    <w:p w:rsidR="001001E6" w:rsidRPr="001001E6" w:rsidRDefault="001001E6" w:rsidP="001001E6">
      <w:pPr>
        <w:rPr>
          <w:sz w:val="32"/>
          <w:szCs w:val="32"/>
        </w:rPr>
      </w:pPr>
      <w:r w:rsidRPr="001001E6">
        <w:rPr>
          <w:sz w:val="32"/>
          <w:szCs w:val="32"/>
        </w:rPr>
        <w:fldChar w:fldCharType="begin"/>
      </w:r>
      <w:r w:rsidRPr="001001E6">
        <w:rPr>
          <w:sz w:val="32"/>
          <w:szCs w:val="32"/>
        </w:rPr>
        <w:instrText xml:space="preserve"> HYPERLINK "http://www.law.gov.kw/KWT_CC-Ar/00_2014/00_%D8%A7%D9%84%D8%AF%D8%A7%D8%A6%D8%B1%D8%A9%20%D8%A7%D9%84%D8%AC%D8%B2%D8%A7%D8%A6%D9%8A%D8%A9/KWT-CC-Ar_2014-05-12_00284_Taan.html" \l "TM2014_284_2" </w:instrText>
      </w:r>
      <w:r w:rsidRPr="001001E6">
        <w:rPr>
          <w:sz w:val="32"/>
          <w:szCs w:val="32"/>
        </w:rPr>
        <w:fldChar w:fldCharType="separate"/>
      </w:r>
      <w:r w:rsidRPr="001001E6">
        <w:rPr>
          <w:rStyle w:val="Hyperlink"/>
          <w:sz w:val="32"/>
          <w:szCs w:val="32"/>
        </w:rPr>
        <w:t xml:space="preserve">2- </w:t>
      </w:r>
      <w:r w:rsidRPr="001001E6">
        <w:rPr>
          <w:rStyle w:val="Hyperlink"/>
          <w:sz w:val="32"/>
          <w:szCs w:val="32"/>
          <w:rtl/>
        </w:rPr>
        <w:t>ان الطعن بالتمييز في المواد الجزائية غير جائز إلا في الأحكام الصادرة من محكمة الإستئناف في مواد الجنايات باستثناء حالة إرتباط الجنحة بجناية إرتباطاً لا يقبل التجزئة</w:t>
      </w:r>
      <w:r w:rsidRPr="001001E6">
        <w:rPr>
          <w:rStyle w:val="Hyperlink"/>
          <w:sz w:val="32"/>
          <w:szCs w:val="32"/>
        </w:rPr>
        <w:t>.</w:t>
      </w:r>
      <w:r w:rsidRPr="001001E6">
        <w:rPr>
          <w:sz w:val="32"/>
          <w:szCs w:val="32"/>
        </w:rPr>
        <w:fldChar w:fldCharType="end"/>
      </w:r>
    </w:p>
    <w:bookmarkStart w:id="5" w:name="Anchor46"/>
    <w:bookmarkEnd w:id="5"/>
    <w:p w:rsidR="001001E6" w:rsidRPr="001001E6" w:rsidRDefault="001001E6" w:rsidP="001001E6">
      <w:pPr>
        <w:rPr>
          <w:sz w:val="32"/>
          <w:szCs w:val="32"/>
        </w:rPr>
      </w:pPr>
      <w:r w:rsidRPr="001001E6">
        <w:rPr>
          <w:sz w:val="32"/>
          <w:szCs w:val="32"/>
        </w:rPr>
        <w:fldChar w:fldCharType="begin"/>
      </w:r>
      <w:r w:rsidRPr="001001E6">
        <w:rPr>
          <w:sz w:val="32"/>
          <w:szCs w:val="32"/>
        </w:rPr>
        <w:instrText xml:space="preserve"> HYPERLINK "http://www.law.gov.kw/KWT_CC-Ar/00_2014/00_%D8%A7%D9%84%D8%AF%D8%A7%D8%A6%D8%B1%D8%A9%20%D8%A7%D9%84%D8%AC%D8%B2%D8%A7%D8%A6%D9%8A%D8%A9/KWT-CC-Ar_2014-05-12_00284_Taan.html" \l "TM2014_284_3" </w:instrText>
      </w:r>
      <w:r w:rsidRPr="001001E6">
        <w:rPr>
          <w:sz w:val="32"/>
          <w:szCs w:val="32"/>
        </w:rPr>
        <w:fldChar w:fldCharType="separate"/>
      </w:r>
      <w:r w:rsidRPr="001001E6">
        <w:rPr>
          <w:rStyle w:val="Hyperlink"/>
          <w:sz w:val="32"/>
          <w:szCs w:val="32"/>
        </w:rPr>
        <w:t xml:space="preserve">3- </w:t>
      </w:r>
      <w:r w:rsidRPr="001001E6">
        <w:rPr>
          <w:rStyle w:val="Hyperlink"/>
          <w:sz w:val="32"/>
          <w:szCs w:val="32"/>
          <w:rtl/>
        </w:rPr>
        <w:t>إن المصلحة أساس الطعن في الحكم إذ يكون الطعن مرفوضاً في حال إنتفت المصلحة منه</w:t>
      </w:r>
      <w:r w:rsidRPr="001001E6">
        <w:rPr>
          <w:rStyle w:val="Hyperlink"/>
          <w:sz w:val="32"/>
          <w:szCs w:val="32"/>
        </w:rPr>
        <w:t>.</w:t>
      </w:r>
      <w:r w:rsidRPr="001001E6">
        <w:rPr>
          <w:sz w:val="32"/>
          <w:szCs w:val="32"/>
        </w:rPr>
        <w:fldChar w:fldCharType="end"/>
      </w:r>
      <w:r w:rsidRPr="001001E6">
        <w:rPr>
          <w:sz w:val="32"/>
          <w:szCs w:val="32"/>
        </w:rPr>
        <w:br/>
      </w:r>
      <w:r w:rsidRPr="001001E6">
        <w:rPr>
          <w:sz w:val="32"/>
          <w:szCs w:val="32"/>
        </w:rPr>
        <w:br/>
      </w:r>
      <w:r w:rsidRPr="001001E6">
        <w:rPr>
          <w:sz w:val="32"/>
          <w:szCs w:val="32"/>
          <w:u w:val="single"/>
          <w:rtl/>
        </w:rPr>
        <w:t>ملاحظة</w:t>
      </w:r>
      <w:r w:rsidRPr="001001E6">
        <w:rPr>
          <w:sz w:val="32"/>
          <w:szCs w:val="32"/>
          <w:u w:val="single"/>
        </w:rPr>
        <w:t xml:space="preserve"> :</w:t>
      </w:r>
      <w:r w:rsidRPr="001001E6">
        <w:rPr>
          <w:sz w:val="32"/>
          <w:szCs w:val="32"/>
        </w:rPr>
        <w:br/>
      </w:r>
      <w:r w:rsidRPr="001001E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001E6" w:rsidRPr="001001E6" w:rsidRDefault="001001E6" w:rsidP="001001E6">
      <w:pPr>
        <w:rPr>
          <w:sz w:val="32"/>
          <w:szCs w:val="32"/>
        </w:rPr>
      </w:pPr>
      <w:bookmarkStart w:id="6" w:name="Anchor56"/>
      <w:bookmarkEnd w:id="6"/>
      <w:r w:rsidRPr="001001E6">
        <w:rPr>
          <w:b/>
          <w:bCs/>
          <w:sz w:val="32"/>
          <w:szCs w:val="32"/>
          <w:rtl/>
        </w:rPr>
        <w:t>المحكمة</w:t>
      </w:r>
    </w:p>
    <w:p w:rsidR="001001E6" w:rsidRPr="001001E6" w:rsidRDefault="001001E6" w:rsidP="001001E6">
      <w:pPr>
        <w:rPr>
          <w:sz w:val="32"/>
          <w:szCs w:val="32"/>
        </w:rPr>
      </w:pPr>
      <w:bookmarkStart w:id="7" w:name="Anchor57"/>
      <w:bookmarkEnd w:id="7"/>
      <w:r w:rsidRPr="001001E6">
        <w:rPr>
          <w:sz w:val="32"/>
          <w:szCs w:val="32"/>
          <w:rtl/>
        </w:rPr>
        <w:t>بعد الإطلاع على الأوراق، وسماع المرافعة، وبعد المداولة</w:t>
      </w:r>
      <w:r w:rsidRPr="001001E6">
        <w:rPr>
          <w:sz w:val="32"/>
          <w:szCs w:val="32"/>
        </w:rPr>
        <w:t>.</w:t>
      </w:r>
    </w:p>
    <w:p w:rsidR="001001E6" w:rsidRPr="001001E6" w:rsidRDefault="001001E6" w:rsidP="001001E6">
      <w:pPr>
        <w:rPr>
          <w:sz w:val="32"/>
          <w:szCs w:val="32"/>
        </w:rPr>
      </w:pPr>
      <w:bookmarkStart w:id="8" w:name="Anchor64"/>
      <w:bookmarkEnd w:id="8"/>
      <w:r w:rsidRPr="001001E6">
        <w:rPr>
          <w:sz w:val="32"/>
          <w:szCs w:val="32"/>
          <w:rtl/>
        </w:rPr>
        <w:t xml:space="preserve">حيث أنه لما كان </w:t>
      </w:r>
      <w:bookmarkStart w:id="9" w:name="TM2014_284_1"/>
      <w:bookmarkEnd w:id="9"/>
      <w:r w:rsidRPr="001001E6">
        <w:rPr>
          <w:b/>
          <w:bCs/>
          <w:sz w:val="32"/>
          <w:szCs w:val="32"/>
          <w:rtl/>
        </w:rPr>
        <w:t>من المقرر أن النظر في شكل الطعن إنما يكون بعد الفصل في جوازه،</w:t>
      </w:r>
      <w:r w:rsidRPr="001001E6">
        <w:rPr>
          <w:sz w:val="32"/>
          <w:szCs w:val="32"/>
          <w:rtl/>
        </w:rPr>
        <w:t xml:space="preserve"> لما كان ذلك، </w:t>
      </w:r>
      <w:bookmarkStart w:id="10" w:name="TM2014_284_2"/>
      <w:bookmarkEnd w:id="10"/>
      <w:r w:rsidRPr="001001E6">
        <w:rPr>
          <w:b/>
          <w:bCs/>
          <w:sz w:val="32"/>
          <w:szCs w:val="32"/>
          <w:rtl/>
        </w:rPr>
        <w:t>وكانت المادة الثامنة من القانون رقم 40 لسنة 1972 بشأن حالات الطعن بالتمييز وإجراءاته لا تجيز الطعن بالتمييز في المواد الجزائية إلا في الأحكام الصادرة من محكمة الاستئناف في مواد الجنايات دون التي تصدر في مواد الجنح إلا أن تكون الجنحة مرتبطة بجناية ارتباطاً لا يقبل التجزئة فيجوز في هذه الحالة الطعن بالتمييز في الحكم الصادر فيهما معا، وإذ كانت التهمة المنسوبة إلى الطاعنين ودان الطاعن الأول عنها وقضي بتبرئة الطاعن الثاني منها هي الضرب الذي نشأت عنه إصابات على نحو محسوس من مواد الجنح ولا ارتباط بينها وبين الجناية موضوع التهمة المنسوبة للمحكوم عليه الأول وحده، ومن ثم فإن طعن كل الطاعنين يكون غير جائز ويتعين القضاء بذلك،</w:t>
      </w:r>
    </w:p>
    <w:p w:rsidR="001001E6" w:rsidRPr="001001E6" w:rsidRDefault="001001E6" w:rsidP="001001E6">
      <w:pPr>
        <w:rPr>
          <w:sz w:val="32"/>
          <w:szCs w:val="32"/>
        </w:rPr>
      </w:pPr>
      <w:bookmarkStart w:id="11" w:name="Anchor132"/>
      <w:bookmarkStart w:id="12" w:name="TM2014_284_3"/>
      <w:bookmarkEnd w:id="11"/>
      <w:bookmarkEnd w:id="12"/>
      <w:r w:rsidRPr="001001E6">
        <w:rPr>
          <w:b/>
          <w:bCs/>
          <w:sz w:val="32"/>
          <w:szCs w:val="32"/>
          <w:rtl/>
        </w:rPr>
        <w:t xml:space="preserve">هذا فضلاً عن أن الحكم المطعون فيه صدر </w:t>
      </w:r>
      <w:r w:rsidRPr="001001E6">
        <w:rPr>
          <w:b/>
          <w:bCs/>
          <w:sz w:val="32"/>
          <w:szCs w:val="32"/>
        </w:rPr>
        <w:t xml:space="preserve">– </w:t>
      </w:r>
      <w:r w:rsidRPr="001001E6">
        <w:rPr>
          <w:b/>
          <w:bCs/>
          <w:sz w:val="32"/>
          <w:szCs w:val="32"/>
          <w:rtl/>
        </w:rPr>
        <w:t xml:space="preserve">بالنسبة للطاعن الثاني </w:t>
      </w:r>
      <w:r w:rsidRPr="001001E6">
        <w:rPr>
          <w:b/>
          <w:bCs/>
          <w:sz w:val="32"/>
          <w:szCs w:val="32"/>
        </w:rPr>
        <w:t xml:space="preserve">– </w:t>
      </w:r>
      <w:r w:rsidRPr="001001E6">
        <w:rPr>
          <w:b/>
          <w:bCs/>
          <w:sz w:val="32"/>
          <w:szCs w:val="32"/>
          <w:rtl/>
        </w:rPr>
        <w:t xml:space="preserve">بإلغاء الحكم المستأنف فيما قضى به من إدانته وببراءته مما أسند إليه، ومن ثم فإنه لا يكون قد أضر بالطاعن الثاني حتى يجوز له أن يطعن فيه بطريق التمييز، لما كان </w:t>
      </w:r>
      <w:r w:rsidRPr="001001E6">
        <w:rPr>
          <w:b/>
          <w:bCs/>
          <w:sz w:val="32"/>
          <w:szCs w:val="32"/>
          <w:rtl/>
        </w:rPr>
        <w:lastRenderedPageBreak/>
        <w:t>ذلك، وكانت المصلحة مناط الطعن فحيث تنقضي لا يكون الطعن مقبولاً، مما يتعين معه القضاء بعدم جواز الطعن</w:t>
      </w:r>
      <w:r w:rsidRPr="001001E6">
        <w:rPr>
          <w:b/>
          <w:bCs/>
          <w:sz w:val="32"/>
          <w:szCs w:val="32"/>
        </w:rPr>
        <w:t>.</w:t>
      </w:r>
    </w:p>
    <w:p w:rsidR="001001E6" w:rsidRPr="001001E6" w:rsidRDefault="001001E6" w:rsidP="001001E6">
      <w:pPr>
        <w:rPr>
          <w:sz w:val="32"/>
          <w:szCs w:val="32"/>
        </w:rPr>
      </w:pPr>
      <w:bookmarkStart w:id="13" w:name="Anchor166"/>
      <w:bookmarkEnd w:id="13"/>
      <w:r w:rsidRPr="001001E6">
        <w:rPr>
          <w:b/>
          <w:bCs/>
          <w:sz w:val="32"/>
          <w:szCs w:val="32"/>
          <w:rtl/>
        </w:rPr>
        <w:t>فلهذه الأسباب</w:t>
      </w:r>
    </w:p>
    <w:p w:rsidR="001001E6" w:rsidRPr="001001E6" w:rsidRDefault="001001E6" w:rsidP="001001E6">
      <w:pPr>
        <w:rPr>
          <w:sz w:val="32"/>
          <w:szCs w:val="32"/>
        </w:rPr>
      </w:pPr>
      <w:bookmarkStart w:id="14" w:name="Anchor168"/>
      <w:bookmarkEnd w:id="14"/>
      <w:r w:rsidRPr="001001E6">
        <w:rPr>
          <w:b/>
          <w:bCs/>
          <w:sz w:val="32"/>
          <w:szCs w:val="32"/>
          <w:rtl/>
        </w:rPr>
        <w:t>حكمت المحكمة</w:t>
      </w:r>
      <w:r w:rsidRPr="001001E6">
        <w:rPr>
          <w:b/>
          <w:bCs/>
          <w:sz w:val="32"/>
          <w:szCs w:val="32"/>
        </w:rPr>
        <w:t>:-</w:t>
      </w:r>
      <w:r w:rsidRPr="001001E6">
        <w:rPr>
          <w:sz w:val="32"/>
          <w:szCs w:val="32"/>
        </w:rPr>
        <w:t xml:space="preserve"> </w:t>
      </w:r>
      <w:r w:rsidRPr="001001E6">
        <w:rPr>
          <w:sz w:val="32"/>
          <w:szCs w:val="32"/>
          <w:rtl/>
        </w:rPr>
        <w:t>بعدم جواز الطعن</w:t>
      </w:r>
      <w:r w:rsidRPr="001001E6">
        <w:rPr>
          <w:sz w:val="32"/>
          <w:szCs w:val="32"/>
        </w:rPr>
        <w:t>.</w:t>
      </w:r>
    </w:p>
    <w:p w:rsidR="001001E6" w:rsidRPr="001001E6" w:rsidRDefault="001001E6" w:rsidP="001001E6">
      <w:pPr>
        <w:rPr>
          <w:sz w:val="32"/>
          <w:szCs w:val="32"/>
        </w:rPr>
      </w:pPr>
    </w:p>
    <w:p w:rsidR="001001E6" w:rsidRPr="001001E6" w:rsidRDefault="001001E6" w:rsidP="001001E6">
      <w:pPr>
        <w:rPr>
          <w:sz w:val="32"/>
          <w:szCs w:val="32"/>
        </w:rPr>
      </w:pPr>
      <w:bookmarkStart w:id="15" w:name="Anchor173"/>
      <w:bookmarkEnd w:id="15"/>
      <w:r w:rsidRPr="001001E6">
        <w:rPr>
          <w:sz w:val="32"/>
          <w:szCs w:val="32"/>
        </w:rPr>
        <w:t>* * *</w:t>
      </w:r>
    </w:p>
    <w:p w:rsidR="00F65C94" w:rsidRPr="001001E6" w:rsidRDefault="00F65C94">
      <w:pPr>
        <w:rPr>
          <w:sz w:val="32"/>
          <w:szCs w:val="32"/>
        </w:rPr>
      </w:pPr>
    </w:p>
    <w:sectPr w:rsidR="00F65C94" w:rsidRPr="001001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FA"/>
    <w:rsid w:val="0003272B"/>
    <w:rsid w:val="001001E6"/>
    <w:rsid w:val="00A802FA"/>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1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90821">
      <w:bodyDiv w:val="1"/>
      <w:marLeft w:val="0"/>
      <w:marRight w:val="0"/>
      <w:marTop w:val="0"/>
      <w:marBottom w:val="0"/>
      <w:divBdr>
        <w:top w:val="none" w:sz="0" w:space="0" w:color="auto"/>
        <w:left w:val="none" w:sz="0" w:space="0" w:color="auto"/>
        <w:bottom w:val="none" w:sz="0" w:space="0" w:color="auto"/>
        <w:right w:val="none" w:sz="0" w:space="0" w:color="auto"/>
      </w:divBdr>
      <w:divsChild>
        <w:div w:id="1330982697">
          <w:marLeft w:val="0"/>
          <w:marRight w:val="0"/>
          <w:marTop w:val="0"/>
          <w:marBottom w:val="0"/>
          <w:divBdr>
            <w:top w:val="none" w:sz="0" w:space="0" w:color="auto"/>
            <w:left w:val="none" w:sz="0" w:space="0" w:color="auto"/>
            <w:bottom w:val="none" w:sz="0" w:space="0" w:color="auto"/>
            <w:right w:val="none" w:sz="0" w:space="0" w:color="auto"/>
          </w:divBdr>
        </w:div>
        <w:div w:id="1377855251">
          <w:marLeft w:val="0"/>
          <w:marRight w:val="0"/>
          <w:marTop w:val="0"/>
          <w:marBottom w:val="0"/>
          <w:divBdr>
            <w:top w:val="none" w:sz="0" w:space="0" w:color="auto"/>
            <w:left w:val="none" w:sz="0" w:space="0" w:color="auto"/>
            <w:bottom w:val="none" w:sz="0" w:space="0" w:color="auto"/>
            <w:right w:val="none" w:sz="0" w:space="0" w:color="auto"/>
          </w:divBdr>
        </w:div>
        <w:div w:id="1673100698">
          <w:marLeft w:val="0"/>
          <w:marRight w:val="0"/>
          <w:marTop w:val="0"/>
          <w:marBottom w:val="0"/>
          <w:divBdr>
            <w:top w:val="none" w:sz="0" w:space="0" w:color="auto"/>
            <w:left w:val="none" w:sz="0" w:space="0" w:color="auto"/>
            <w:bottom w:val="none" w:sz="0" w:space="0" w:color="auto"/>
            <w:right w:val="none" w:sz="0" w:space="0" w:color="auto"/>
          </w:divBdr>
        </w:div>
        <w:div w:id="503977793">
          <w:marLeft w:val="0"/>
          <w:marRight w:val="0"/>
          <w:marTop w:val="0"/>
          <w:marBottom w:val="0"/>
          <w:divBdr>
            <w:top w:val="none" w:sz="0" w:space="0" w:color="auto"/>
            <w:left w:val="none" w:sz="0" w:space="0" w:color="auto"/>
            <w:bottom w:val="none" w:sz="0" w:space="0" w:color="auto"/>
            <w:right w:val="none" w:sz="0" w:space="0" w:color="auto"/>
          </w:divBdr>
        </w:div>
        <w:div w:id="534008131">
          <w:marLeft w:val="0"/>
          <w:marRight w:val="0"/>
          <w:marTop w:val="0"/>
          <w:marBottom w:val="0"/>
          <w:divBdr>
            <w:top w:val="none" w:sz="0" w:space="0" w:color="auto"/>
            <w:left w:val="none" w:sz="0" w:space="0" w:color="auto"/>
            <w:bottom w:val="none" w:sz="0" w:space="0" w:color="auto"/>
            <w:right w:val="none" w:sz="0" w:space="0" w:color="auto"/>
          </w:divBdr>
        </w:div>
        <w:div w:id="478231069">
          <w:marLeft w:val="0"/>
          <w:marRight w:val="0"/>
          <w:marTop w:val="0"/>
          <w:marBottom w:val="0"/>
          <w:divBdr>
            <w:top w:val="none" w:sz="0" w:space="0" w:color="auto"/>
            <w:left w:val="none" w:sz="0" w:space="0" w:color="auto"/>
            <w:bottom w:val="none" w:sz="0" w:space="0" w:color="auto"/>
            <w:right w:val="none" w:sz="0" w:space="0" w:color="auto"/>
          </w:divBdr>
        </w:div>
        <w:div w:id="1936941389">
          <w:marLeft w:val="0"/>
          <w:marRight w:val="0"/>
          <w:marTop w:val="0"/>
          <w:marBottom w:val="0"/>
          <w:divBdr>
            <w:top w:val="none" w:sz="0" w:space="0" w:color="auto"/>
            <w:left w:val="none" w:sz="0" w:space="0" w:color="auto"/>
            <w:bottom w:val="none" w:sz="0" w:space="0" w:color="auto"/>
            <w:right w:val="none" w:sz="0" w:space="0" w:color="auto"/>
          </w:divBdr>
        </w:div>
        <w:div w:id="1643537746">
          <w:marLeft w:val="0"/>
          <w:marRight w:val="0"/>
          <w:marTop w:val="0"/>
          <w:marBottom w:val="0"/>
          <w:divBdr>
            <w:top w:val="none" w:sz="0" w:space="0" w:color="auto"/>
            <w:left w:val="none" w:sz="0" w:space="0" w:color="auto"/>
            <w:bottom w:val="none" w:sz="0" w:space="0" w:color="auto"/>
            <w:right w:val="none" w:sz="0" w:space="0" w:color="auto"/>
          </w:divBdr>
        </w:div>
        <w:div w:id="574633097">
          <w:marLeft w:val="0"/>
          <w:marRight w:val="0"/>
          <w:marTop w:val="0"/>
          <w:marBottom w:val="0"/>
          <w:divBdr>
            <w:top w:val="none" w:sz="0" w:space="0" w:color="auto"/>
            <w:left w:val="none" w:sz="0" w:space="0" w:color="auto"/>
            <w:bottom w:val="none" w:sz="0" w:space="0" w:color="auto"/>
            <w:right w:val="none" w:sz="0" w:space="0" w:color="auto"/>
          </w:divBdr>
        </w:div>
        <w:div w:id="317466344">
          <w:marLeft w:val="0"/>
          <w:marRight w:val="0"/>
          <w:marTop w:val="0"/>
          <w:marBottom w:val="0"/>
          <w:divBdr>
            <w:top w:val="none" w:sz="0" w:space="0" w:color="auto"/>
            <w:left w:val="none" w:sz="0" w:space="0" w:color="auto"/>
            <w:bottom w:val="none" w:sz="0" w:space="0" w:color="auto"/>
            <w:right w:val="none" w:sz="0" w:space="0" w:color="auto"/>
          </w:divBdr>
        </w:div>
        <w:div w:id="505899074">
          <w:marLeft w:val="0"/>
          <w:marRight w:val="0"/>
          <w:marTop w:val="0"/>
          <w:marBottom w:val="0"/>
          <w:divBdr>
            <w:top w:val="none" w:sz="0" w:space="0" w:color="auto"/>
            <w:left w:val="none" w:sz="0" w:space="0" w:color="auto"/>
            <w:bottom w:val="none" w:sz="0" w:space="0" w:color="auto"/>
            <w:right w:val="none" w:sz="0" w:space="0" w:color="auto"/>
          </w:divBdr>
        </w:div>
        <w:div w:id="1612474319">
          <w:marLeft w:val="0"/>
          <w:marRight w:val="0"/>
          <w:marTop w:val="0"/>
          <w:marBottom w:val="0"/>
          <w:divBdr>
            <w:top w:val="none" w:sz="0" w:space="0" w:color="auto"/>
            <w:left w:val="none" w:sz="0" w:space="0" w:color="auto"/>
            <w:bottom w:val="none" w:sz="0" w:space="0" w:color="auto"/>
            <w:right w:val="none" w:sz="0" w:space="0" w:color="auto"/>
          </w:divBdr>
        </w:div>
      </w:divsChild>
    </w:div>
    <w:div w:id="857810585">
      <w:bodyDiv w:val="1"/>
      <w:marLeft w:val="0"/>
      <w:marRight w:val="0"/>
      <w:marTop w:val="0"/>
      <w:marBottom w:val="0"/>
      <w:divBdr>
        <w:top w:val="none" w:sz="0" w:space="0" w:color="auto"/>
        <w:left w:val="none" w:sz="0" w:space="0" w:color="auto"/>
        <w:bottom w:val="none" w:sz="0" w:space="0" w:color="auto"/>
        <w:right w:val="none" w:sz="0" w:space="0" w:color="auto"/>
      </w:divBdr>
      <w:divsChild>
        <w:div w:id="1596554073">
          <w:marLeft w:val="0"/>
          <w:marRight w:val="0"/>
          <w:marTop w:val="0"/>
          <w:marBottom w:val="0"/>
          <w:divBdr>
            <w:top w:val="none" w:sz="0" w:space="0" w:color="auto"/>
            <w:left w:val="none" w:sz="0" w:space="0" w:color="auto"/>
            <w:bottom w:val="none" w:sz="0" w:space="0" w:color="auto"/>
            <w:right w:val="none" w:sz="0" w:space="0" w:color="auto"/>
          </w:divBdr>
        </w:div>
        <w:div w:id="859396013">
          <w:marLeft w:val="0"/>
          <w:marRight w:val="0"/>
          <w:marTop w:val="0"/>
          <w:marBottom w:val="0"/>
          <w:divBdr>
            <w:top w:val="none" w:sz="0" w:space="0" w:color="auto"/>
            <w:left w:val="none" w:sz="0" w:space="0" w:color="auto"/>
            <w:bottom w:val="none" w:sz="0" w:space="0" w:color="auto"/>
            <w:right w:val="none" w:sz="0" w:space="0" w:color="auto"/>
          </w:divBdr>
        </w:div>
        <w:div w:id="477458886">
          <w:marLeft w:val="0"/>
          <w:marRight w:val="0"/>
          <w:marTop w:val="0"/>
          <w:marBottom w:val="0"/>
          <w:divBdr>
            <w:top w:val="none" w:sz="0" w:space="0" w:color="auto"/>
            <w:left w:val="none" w:sz="0" w:space="0" w:color="auto"/>
            <w:bottom w:val="none" w:sz="0" w:space="0" w:color="auto"/>
            <w:right w:val="none" w:sz="0" w:space="0" w:color="auto"/>
          </w:divBdr>
        </w:div>
        <w:div w:id="1643540358">
          <w:marLeft w:val="0"/>
          <w:marRight w:val="0"/>
          <w:marTop w:val="0"/>
          <w:marBottom w:val="0"/>
          <w:divBdr>
            <w:top w:val="none" w:sz="0" w:space="0" w:color="auto"/>
            <w:left w:val="none" w:sz="0" w:space="0" w:color="auto"/>
            <w:bottom w:val="none" w:sz="0" w:space="0" w:color="auto"/>
            <w:right w:val="none" w:sz="0" w:space="0" w:color="auto"/>
          </w:divBdr>
        </w:div>
        <w:div w:id="391002581">
          <w:marLeft w:val="0"/>
          <w:marRight w:val="0"/>
          <w:marTop w:val="0"/>
          <w:marBottom w:val="0"/>
          <w:divBdr>
            <w:top w:val="none" w:sz="0" w:space="0" w:color="auto"/>
            <w:left w:val="none" w:sz="0" w:space="0" w:color="auto"/>
            <w:bottom w:val="none" w:sz="0" w:space="0" w:color="auto"/>
            <w:right w:val="none" w:sz="0" w:space="0" w:color="auto"/>
          </w:divBdr>
        </w:div>
        <w:div w:id="705062251">
          <w:marLeft w:val="0"/>
          <w:marRight w:val="0"/>
          <w:marTop w:val="0"/>
          <w:marBottom w:val="0"/>
          <w:divBdr>
            <w:top w:val="none" w:sz="0" w:space="0" w:color="auto"/>
            <w:left w:val="none" w:sz="0" w:space="0" w:color="auto"/>
            <w:bottom w:val="none" w:sz="0" w:space="0" w:color="auto"/>
            <w:right w:val="none" w:sz="0" w:space="0" w:color="auto"/>
          </w:divBdr>
        </w:div>
        <w:div w:id="1575822203">
          <w:marLeft w:val="0"/>
          <w:marRight w:val="0"/>
          <w:marTop w:val="0"/>
          <w:marBottom w:val="0"/>
          <w:divBdr>
            <w:top w:val="none" w:sz="0" w:space="0" w:color="auto"/>
            <w:left w:val="none" w:sz="0" w:space="0" w:color="auto"/>
            <w:bottom w:val="none" w:sz="0" w:space="0" w:color="auto"/>
            <w:right w:val="none" w:sz="0" w:space="0" w:color="auto"/>
          </w:divBdr>
        </w:div>
        <w:div w:id="699472330">
          <w:marLeft w:val="0"/>
          <w:marRight w:val="0"/>
          <w:marTop w:val="0"/>
          <w:marBottom w:val="0"/>
          <w:divBdr>
            <w:top w:val="none" w:sz="0" w:space="0" w:color="auto"/>
            <w:left w:val="none" w:sz="0" w:space="0" w:color="auto"/>
            <w:bottom w:val="none" w:sz="0" w:space="0" w:color="auto"/>
            <w:right w:val="none" w:sz="0" w:space="0" w:color="auto"/>
          </w:divBdr>
        </w:div>
        <w:div w:id="1976375635">
          <w:marLeft w:val="0"/>
          <w:marRight w:val="0"/>
          <w:marTop w:val="0"/>
          <w:marBottom w:val="0"/>
          <w:divBdr>
            <w:top w:val="none" w:sz="0" w:space="0" w:color="auto"/>
            <w:left w:val="none" w:sz="0" w:space="0" w:color="auto"/>
            <w:bottom w:val="none" w:sz="0" w:space="0" w:color="auto"/>
            <w:right w:val="none" w:sz="0" w:space="0" w:color="auto"/>
          </w:divBdr>
        </w:div>
        <w:div w:id="314338979">
          <w:marLeft w:val="0"/>
          <w:marRight w:val="0"/>
          <w:marTop w:val="0"/>
          <w:marBottom w:val="0"/>
          <w:divBdr>
            <w:top w:val="none" w:sz="0" w:space="0" w:color="auto"/>
            <w:left w:val="none" w:sz="0" w:space="0" w:color="auto"/>
            <w:bottom w:val="none" w:sz="0" w:space="0" w:color="auto"/>
            <w:right w:val="none" w:sz="0" w:space="0" w:color="auto"/>
          </w:divBdr>
        </w:div>
        <w:div w:id="309988521">
          <w:marLeft w:val="0"/>
          <w:marRight w:val="0"/>
          <w:marTop w:val="0"/>
          <w:marBottom w:val="0"/>
          <w:divBdr>
            <w:top w:val="none" w:sz="0" w:space="0" w:color="auto"/>
            <w:left w:val="none" w:sz="0" w:space="0" w:color="auto"/>
            <w:bottom w:val="none" w:sz="0" w:space="0" w:color="auto"/>
            <w:right w:val="none" w:sz="0" w:space="0" w:color="auto"/>
          </w:divBdr>
        </w:div>
        <w:div w:id="102737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2020-04-26T11:12:00Z</dcterms:created>
  <dcterms:modified xsi:type="dcterms:W3CDTF">2020-04-26T11:12:00Z</dcterms:modified>
</cp:coreProperties>
</file>