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1C2" w:rsidRPr="004A01C2" w:rsidRDefault="004A01C2" w:rsidP="004A01C2">
      <w:pPr>
        <w:jc w:val="center"/>
        <w:rPr>
          <w:sz w:val="32"/>
          <w:szCs w:val="32"/>
        </w:rPr>
      </w:pPr>
      <w:bookmarkStart w:id="0" w:name="Anchor1"/>
      <w:bookmarkEnd w:id="0"/>
      <w:r w:rsidRPr="004A01C2">
        <w:rPr>
          <w:sz w:val="32"/>
          <w:szCs w:val="32"/>
          <w:rtl/>
        </w:rPr>
        <w:t>الطعن رقم</w:t>
      </w:r>
      <w:bookmarkStart w:id="1" w:name="_GoBack"/>
      <w:bookmarkEnd w:id="1"/>
      <w:r w:rsidRPr="004A01C2">
        <w:rPr>
          <w:sz w:val="32"/>
          <w:szCs w:val="32"/>
          <w:rtl/>
        </w:rPr>
        <w:t xml:space="preserve"> 78/2013</w:t>
      </w:r>
    </w:p>
    <w:p w:rsidR="004A01C2" w:rsidRPr="004A01C2" w:rsidRDefault="004A01C2" w:rsidP="004A01C2">
      <w:pPr>
        <w:rPr>
          <w:sz w:val="32"/>
          <w:szCs w:val="32"/>
        </w:rPr>
      </w:pPr>
      <w:bookmarkStart w:id="2" w:name="Anchor6"/>
      <w:bookmarkEnd w:id="2"/>
      <w:r w:rsidRPr="004A01C2">
        <w:rPr>
          <w:sz w:val="32"/>
          <w:szCs w:val="32"/>
          <w:rtl/>
        </w:rPr>
        <w:t>هيئة المحكمة</w:t>
      </w:r>
      <w:r w:rsidRPr="004A01C2">
        <w:rPr>
          <w:sz w:val="32"/>
          <w:szCs w:val="32"/>
        </w:rPr>
        <w:t xml:space="preserve">: </w:t>
      </w:r>
      <w:r w:rsidRPr="004A01C2">
        <w:rPr>
          <w:sz w:val="32"/>
          <w:szCs w:val="32"/>
          <w:rtl/>
        </w:rPr>
        <w:t>برئاسة السيد المستشار عبدالله جاسم العبدالله وكيل المحكمة وعضوية السادة المستشارين ممدوح يوسف وسيد الدليل ولاشين إبراهيم وخالد مقلد</w:t>
      </w:r>
    </w:p>
    <w:bookmarkStart w:id="3" w:name="Anchor21"/>
    <w:bookmarkEnd w:id="3"/>
    <w:p w:rsidR="004A01C2" w:rsidRPr="004A01C2" w:rsidRDefault="004A01C2" w:rsidP="004A01C2">
      <w:pPr>
        <w:rPr>
          <w:sz w:val="32"/>
          <w:szCs w:val="32"/>
        </w:rPr>
      </w:pPr>
      <w:r w:rsidRPr="004A01C2">
        <w:rPr>
          <w:sz w:val="32"/>
          <w:szCs w:val="32"/>
        </w:rPr>
        <w:fldChar w:fldCharType="begin"/>
      </w:r>
      <w:r w:rsidRPr="004A01C2">
        <w:rPr>
          <w:sz w:val="32"/>
          <w:szCs w:val="32"/>
        </w:rPr>
        <w:instrText xml:space="preserve"> HYPERLINK "http://www.law.gov.kw/KWT_CC-Ar/00_2014/00_%D8%A7%D9%84%D8%AF%D8%A7%D8%A6%D8%B1%D8%A9%20%D8%A7%D9%84%D8%AC%D8%B2%D8%A7%D8%A6%D9%8A%D8%A9/KWT-CC-Ar_2014-05-19_00078_Taan.html" \l "TM2014_78_1" </w:instrText>
      </w:r>
      <w:r w:rsidRPr="004A01C2">
        <w:rPr>
          <w:sz w:val="32"/>
          <w:szCs w:val="32"/>
        </w:rPr>
        <w:fldChar w:fldCharType="separate"/>
      </w:r>
      <w:r w:rsidRPr="004A01C2">
        <w:rPr>
          <w:rStyle w:val="Hyperlink"/>
          <w:sz w:val="32"/>
          <w:szCs w:val="32"/>
        </w:rPr>
        <w:t xml:space="preserve">1- </w:t>
      </w:r>
      <w:r w:rsidRPr="004A01C2">
        <w:rPr>
          <w:rStyle w:val="Hyperlink"/>
          <w:sz w:val="32"/>
          <w:szCs w:val="32"/>
          <w:rtl/>
        </w:rPr>
        <w:t>إن على رجال الشرطة قبول التبليغات الواردة إليهم بشأن الجرائم وأن يقوموا بأنفسهم أو بواسطة مرؤوسيهم بالتحريات اللازمة لنفي أو إثبات تلك الوقائع</w:t>
      </w:r>
      <w:r w:rsidRPr="004A01C2">
        <w:rPr>
          <w:rStyle w:val="Hyperlink"/>
          <w:sz w:val="32"/>
          <w:szCs w:val="32"/>
        </w:rPr>
        <w:t>.</w:t>
      </w:r>
      <w:r w:rsidRPr="004A01C2">
        <w:rPr>
          <w:sz w:val="32"/>
          <w:szCs w:val="32"/>
        </w:rPr>
        <w:fldChar w:fldCharType="end"/>
      </w:r>
    </w:p>
    <w:bookmarkStart w:id="4" w:name="Anchor37"/>
    <w:bookmarkEnd w:id="4"/>
    <w:p w:rsidR="004A01C2" w:rsidRPr="004A01C2" w:rsidRDefault="004A01C2" w:rsidP="004A01C2">
      <w:pPr>
        <w:rPr>
          <w:sz w:val="32"/>
          <w:szCs w:val="32"/>
        </w:rPr>
      </w:pPr>
      <w:r w:rsidRPr="004A01C2">
        <w:rPr>
          <w:sz w:val="32"/>
          <w:szCs w:val="32"/>
        </w:rPr>
        <w:fldChar w:fldCharType="begin"/>
      </w:r>
      <w:r w:rsidRPr="004A01C2">
        <w:rPr>
          <w:sz w:val="32"/>
          <w:szCs w:val="32"/>
        </w:rPr>
        <w:instrText xml:space="preserve"> HYPERLINK "http://www.law.gov.kw/KWT_CC-Ar/00_2014/00_%D8%A7%D9%84%D8%AF%D8%A7%D8%A6%D8%B1%D8%A9%20%D8%A7%D9%84%D8%AC%D8%B2%D8%A7%D8%A6%D9%8A%D8%A9/KWT-CC-Ar_2014-05-19_00078_Taan.html" \l "TM2014_78_2" </w:instrText>
      </w:r>
      <w:r w:rsidRPr="004A01C2">
        <w:rPr>
          <w:sz w:val="32"/>
          <w:szCs w:val="32"/>
        </w:rPr>
        <w:fldChar w:fldCharType="separate"/>
      </w:r>
      <w:r w:rsidRPr="004A01C2">
        <w:rPr>
          <w:rStyle w:val="Hyperlink"/>
          <w:sz w:val="32"/>
          <w:szCs w:val="32"/>
        </w:rPr>
        <w:t xml:space="preserve">2- </w:t>
      </w:r>
      <w:r w:rsidRPr="004A01C2">
        <w:rPr>
          <w:rStyle w:val="Hyperlink"/>
          <w:sz w:val="32"/>
          <w:szCs w:val="32"/>
          <w:rtl/>
        </w:rPr>
        <w:t>إن أحكام قانون الإجراءات والمحاكمات الجزائية تخوّل رجال الشرطة أثناء جمع الأدلة والتحري بالإستماع الى أقوال ممن يكون لديهم معلومات عن الوقائع الجنائية أو مرتكبيها</w:t>
      </w:r>
      <w:r w:rsidRPr="004A01C2">
        <w:rPr>
          <w:rStyle w:val="Hyperlink"/>
          <w:sz w:val="32"/>
          <w:szCs w:val="32"/>
        </w:rPr>
        <w:t>.</w:t>
      </w:r>
      <w:r w:rsidRPr="004A01C2">
        <w:rPr>
          <w:sz w:val="32"/>
          <w:szCs w:val="32"/>
        </w:rPr>
        <w:fldChar w:fldCharType="end"/>
      </w:r>
    </w:p>
    <w:bookmarkStart w:id="5" w:name="Anchor54"/>
    <w:bookmarkEnd w:id="5"/>
    <w:p w:rsidR="004A01C2" w:rsidRPr="004A01C2" w:rsidRDefault="004A01C2" w:rsidP="004A01C2">
      <w:pPr>
        <w:rPr>
          <w:sz w:val="32"/>
          <w:szCs w:val="32"/>
        </w:rPr>
      </w:pPr>
      <w:r w:rsidRPr="004A01C2">
        <w:rPr>
          <w:sz w:val="32"/>
          <w:szCs w:val="32"/>
        </w:rPr>
        <w:fldChar w:fldCharType="begin"/>
      </w:r>
      <w:r w:rsidRPr="004A01C2">
        <w:rPr>
          <w:sz w:val="32"/>
          <w:szCs w:val="32"/>
        </w:rPr>
        <w:instrText xml:space="preserve"> HYPERLINK "http://www.law.gov.kw/KWT_CC-Ar/00_2014/00_%D8%A7%D9%84%D8%AF%D8%A7%D8%A6%D8%B1%D8%A9%20%D8%A7%D9%84%D8%AC%D8%B2%D8%A7%D8%A6%D9%8A%D8%A9/KWT-CC-Ar_2014-05-19_00078_Taan.html" \l "TM2014_78_3" </w:instrText>
      </w:r>
      <w:r w:rsidRPr="004A01C2">
        <w:rPr>
          <w:sz w:val="32"/>
          <w:szCs w:val="32"/>
        </w:rPr>
        <w:fldChar w:fldCharType="separate"/>
      </w:r>
      <w:r w:rsidRPr="004A01C2">
        <w:rPr>
          <w:rStyle w:val="Hyperlink"/>
          <w:sz w:val="32"/>
          <w:szCs w:val="32"/>
        </w:rPr>
        <w:t xml:space="preserve">3- </w:t>
      </w:r>
      <w:r w:rsidRPr="004A01C2">
        <w:rPr>
          <w:rStyle w:val="Hyperlink"/>
          <w:sz w:val="32"/>
          <w:szCs w:val="32"/>
          <w:rtl/>
        </w:rPr>
        <w:t>إن للمحكمة الإستناد الى إجراءات الإستدلال التي قام بها ضابط الواقعة في حال كانت إجراءات صحيحة لا بطلان فيها</w:t>
      </w:r>
      <w:r w:rsidRPr="004A01C2">
        <w:rPr>
          <w:rStyle w:val="Hyperlink"/>
          <w:sz w:val="32"/>
          <w:szCs w:val="32"/>
        </w:rPr>
        <w:t>.</w:t>
      </w:r>
      <w:r w:rsidRPr="004A01C2">
        <w:rPr>
          <w:sz w:val="32"/>
          <w:szCs w:val="32"/>
        </w:rPr>
        <w:fldChar w:fldCharType="end"/>
      </w:r>
    </w:p>
    <w:bookmarkStart w:id="6" w:name="Anchor66"/>
    <w:bookmarkEnd w:id="6"/>
    <w:p w:rsidR="004A01C2" w:rsidRPr="004A01C2" w:rsidRDefault="004A01C2" w:rsidP="004A01C2">
      <w:pPr>
        <w:rPr>
          <w:sz w:val="32"/>
          <w:szCs w:val="32"/>
        </w:rPr>
      </w:pPr>
      <w:r w:rsidRPr="004A01C2">
        <w:rPr>
          <w:sz w:val="32"/>
          <w:szCs w:val="32"/>
        </w:rPr>
        <w:fldChar w:fldCharType="begin"/>
      </w:r>
      <w:r w:rsidRPr="004A01C2">
        <w:rPr>
          <w:sz w:val="32"/>
          <w:szCs w:val="32"/>
        </w:rPr>
        <w:instrText xml:space="preserve"> HYPERLINK "http://www.law.gov.kw/KWT_CC-Ar/00_2014/00_%D8%A7%D9%84%D8%AF%D8%A7%D8%A6%D8%B1%D8%A9%20%D8%A7%D9%84%D8%AC%D8%B2%D8%A7%D8%A6%D9%8A%D8%A9/KWT-CC-Ar_2014-05-19_00078_Taan.html" \l "TM2014_78_4" </w:instrText>
      </w:r>
      <w:r w:rsidRPr="004A01C2">
        <w:rPr>
          <w:sz w:val="32"/>
          <w:szCs w:val="32"/>
        </w:rPr>
        <w:fldChar w:fldCharType="separate"/>
      </w:r>
      <w:r w:rsidRPr="004A01C2">
        <w:rPr>
          <w:rStyle w:val="Hyperlink"/>
          <w:sz w:val="32"/>
          <w:szCs w:val="32"/>
        </w:rPr>
        <w:t xml:space="preserve">4- </w:t>
      </w:r>
      <w:r w:rsidRPr="004A01C2">
        <w:rPr>
          <w:rStyle w:val="Hyperlink"/>
          <w:sz w:val="32"/>
          <w:szCs w:val="32"/>
          <w:rtl/>
        </w:rPr>
        <w:t>إن وجود المتهم في جريمة إحراز المخدر بقصد التعاطي في حالة غير طبيعية وشهادة شقيقه أمام ضابط الواقعة بتعاطيه المواد المخدرة وتقديمه كيساً يحتوي بعض تلك المواد يكفي لإعتبار كل ذلك أدلة قوية تجيز إلقاء رجل الشرطة القبض عليه دون أمر</w:t>
      </w:r>
      <w:r w:rsidRPr="004A01C2">
        <w:rPr>
          <w:rStyle w:val="Hyperlink"/>
          <w:sz w:val="32"/>
          <w:szCs w:val="32"/>
        </w:rPr>
        <w:t>.</w:t>
      </w:r>
      <w:r w:rsidRPr="004A01C2">
        <w:rPr>
          <w:sz w:val="32"/>
          <w:szCs w:val="32"/>
        </w:rPr>
        <w:fldChar w:fldCharType="end"/>
      </w:r>
    </w:p>
    <w:bookmarkStart w:id="7" w:name="Anchor90"/>
    <w:bookmarkEnd w:id="7"/>
    <w:p w:rsidR="004A01C2" w:rsidRPr="004A01C2" w:rsidRDefault="004A01C2" w:rsidP="004A01C2">
      <w:pPr>
        <w:rPr>
          <w:sz w:val="32"/>
          <w:szCs w:val="32"/>
        </w:rPr>
      </w:pPr>
      <w:r w:rsidRPr="004A01C2">
        <w:rPr>
          <w:sz w:val="32"/>
          <w:szCs w:val="32"/>
        </w:rPr>
        <w:fldChar w:fldCharType="begin"/>
      </w:r>
      <w:r w:rsidRPr="004A01C2">
        <w:rPr>
          <w:sz w:val="32"/>
          <w:szCs w:val="32"/>
        </w:rPr>
        <w:instrText xml:space="preserve"> HYPERLINK "http://www.law.gov.kw/KWT_CC-Ar/00_2014/00_%D8%A7%D9%84%D8%AF%D8%A7%D8%A6%D8%B1%D8%A9%20%D8%A7%D9%84%D8%AC%D8%B2%D8%A7%D8%A6%D9%8A%D8%A9/KWT-CC-Ar_2014-05-19_00078_Taan.html" \l "TM2014_78_5" </w:instrText>
      </w:r>
      <w:r w:rsidRPr="004A01C2">
        <w:rPr>
          <w:sz w:val="32"/>
          <w:szCs w:val="32"/>
        </w:rPr>
        <w:fldChar w:fldCharType="separate"/>
      </w:r>
      <w:r w:rsidRPr="004A01C2">
        <w:rPr>
          <w:rStyle w:val="Hyperlink"/>
          <w:sz w:val="32"/>
          <w:szCs w:val="32"/>
        </w:rPr>
        <w:t xml:space="preserve">5- </w:t>
      </w:r>
      <w:r w:rsidRPr="004A01C2">
        <w:rPr>
          <w:rStyle w:val="Hyperlink"/>
          <w:sz w:val="32"/>
          <w:szCs w:val="32"/>
          <w:rtl/>
        </w:rPr>
        <w:t>إن لمحكمة الموضوع حسب ظروف الدعوى إتخاذ التدبير العلاجي والإيداع في إحدى المصحات العلاجية في حال ثبوت الإدمان على تعاطي المخدرات</w:t>
      </w:r>
      <w:r w:rsidRPr="004A01C2">
        <w:rPr>
          <w:rStyle w:val="Hyperlink"/>
          <w:sz w:val="32"/>
          <w:szCs w:val="32"/>
        </w:rPr>
        <w:t>.</w:t>
      </w:r>
      <w:r w:rsidRPr="004A01C2">
        <w:rPr>
          <w:sz w:val="32"/>
          <w:szCs w:val="32"/>
        </w:rPr>
        <w:fldChar w:fldCharType="end"/>
      </w:r>
    </w:p>
    <w:bookmarkStart w:id="8" w:name="Anchor105"/>
    <w:bookmarkEnd w:id="8"/>
    <w:p w:rsidR="004A01C2" w:rsidRPr="004A01C2" w:rsidRDefault="004A01C2" w:rsidP="004A01C2">
      <w:pPr>
        <w:rPr>
          <w:sz w:val="32"/>
          <w:szCs w:val="32"/>
        </w:rPr>
      </w:pPr>
      <w:r w:rsidRPr="004A01C2">
        <w:rPr>
          <w:sz w:val="32"/>
          <w:szCs w:val="32"/>
        </w:rPr>
        <w:fldChar w:fldCharType="begin"/>
      </w:r>
      <w:r w:rsidRPr="004A01C2">
        <w:rPr>
          <w:sz w:val="32"/>
          <w:szCs w:val="32"/>
        </w:rPr>
        <w:instrText xml:space="preserve"> HYPERLINK "http://www.law.gov.kw/KWT_CC-Ar/00_2014/00_%D8%A7%D9%84%D8%AF%D8%A7%D8%A6%D8%B1%D8%A9%20%D8%A7%D9%84%D8%AC%D8%B2%D8%A7%D8%A6%D9%8A%D8%A9/KWT-CC-Ar_2014-05-19_00078_Taan.html" \l "TM2014_78_6" </w:instrText>
      </w:r>
      <w:r w:rsidRPr="004A01C2">
        <w:rPr>
          <w:sz w:val="32"/>
          <w:szCs w:val="32"/>
        </w:rPr>
        <w:fldChar w:fldCharType="separate"/>
      </w:r>
      <w:r w:rsidRPr="004A01C2">
        <w:rPr>
          <w:rStyle w:val="Hyperlink"/>
          <w:sz w:val="32"/>
          <w:szCs w:val="32"/>
        </w:rPr>
        <w:t xml:space="preserve">6- </w:t>
      </w:r>
      <w:r w:rsidRPr="004A01C2">
        <w:rPr>
          <w:rStyle w:val="Hyperlink"/>
          <w:sz w:val="32"/>
          <w:szCs w:val="32"/>
          <w:rtl/>
        </w:rPr>
        <w:t>إن لقبول وجه الطعن يجب أن يكون وارداً بشكل واضح ومحدد</w:t>
      </w:r>
      <w:r w:rsidRPr="004A01C2">
        <w:rPr>
          <w:rStyle w:val="Hyperlink"/>
          <w:sz w:val="32"/>
          <w:szCs w:val="32"/>
        </w:rPr>
        <w:t>.</w:t>
      </w:r>
      <w:r w:rsidRPr="004A01C2">
        <w:rPr>
          <w:sz w:val="32"/>
          <w:szCs w:val="32"/>
        </w:rPr>
        <w:fldChar w:fldCharType="end"/>
      </w:r>
      <w:r w:rsidRPr="004A01C2">
        <w:rPr>
          <w:sz w:val="32"/>
          <w:szCs w:val="32"/>
        </w:rPr>
        <w:br/>
      </w:r>
      <w:r w:rsidRPr="004A01C2">
        <w:rPr>
          <w:sz w:val="32"/>
          <w:szCs w:val="32"/>
        </w:rPr>
        <w:br/>
      </w:r>
      <w:r w:rsidRPr="004A01C2">
        <w:rPr>
          <w:sz w:val="32"/>
          <w:szCs w:val="32"/>
          <w:u w:val="single"/>
          <w:rtl/>
        </w:rPr>
        <w:t>ملاحظة</w:t>
      </w:r>
      <w:r w:rsidRPr="004A01C2">
        <w:rPr>
          <w:sz w:val="32"/>
          <w:szCs w:val="32"/>
          <w:u w:val="single"/>
        </w:rPr>
        <w:t xml:space="preserve"> :</w:t>
      </w:r>
      <w:r w:rsidRPr="004A01C2">
        <w:rPr>
          <w:sz w:val="32"/>
          <w:szCs w:val="32"/>
        </w:rPr>
        <w:br/>
      </w:r>
      <w:r w:rsidRPr="004A01C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A01C2" w:rsidRPr="004A01C2" w:rsidRDefault="004A01C2" w:rsidP="004A01C2">
      <w:pPr>
        <w:rPr>
          <w:sz w:val="32"/>
          <w:szCs w:val="32"/>
        </w:rPr>
      </w:pPr>
      <w:bookmarkStart w:id="9" w:name="Anchor112"/>
      <w:bookmarkEnd w:id="9"/>
      <w:r w:rsidRPr="004A01C2">
        <w:rPr>
          <w:b/>
          <w:bCs/>
          <w:sz w:val="32"/>
          <w:szCs w:val="32"/>
          <w:rtl/>
        </w:rPr>
        <w:t>المحكمة</w:t>
      </w:r>
    </w:p>
    <w:p w:rsidR="004A01C2" w:rsidRPr="004A01C2" w:rsidRDefault="004A01C2" w:rsidP="004A01C2">
      <w:pPr>
        <w:rPr>
          <w:sz w:val="32"/>
          <w:szCs w:val="32"/>
        </w:rPr>
      </w:pPr>
      <w:bookmarkStart w:id="10" w:name="Anchor113"/>
      <w:bookmarkEnd w:id="10"/>
      <w:r w:rsidRPr="004A01C2">
        <w:rPr>
          <w:sz w:val="32"/>
          <w:szCs w:val="32"/>
          <w:rtl/>
        </w:rPr>
        <w:t>بعد الاطلاع على الأوراق، وسماع المرافعة، وبعد المداولة</w:t>
      </w:r>
      <w:r w:rsidRPr="004A01C2">
        <w:rPr>
          <w:sz w:val="32"/>
          <w:szCs w:val="32"/>
        </w:rPr>
        <w:t>:</w:t>
      </w:r>
    </w:p>
    <w:p w:rsidR="004A01C2" w:rsidRPr="004A01C2" w:rsidRDefault="004A01C2" w:rsidP="004A01C2">
      <w:pPr>
        <w:rPr>
          <w:sz w:val="32"/>
          <w:szCs w:val="32"/>
        </w:rPr>
      </w:pPr>
      <w:bookmarkStart w:id="11" w:name="Anchor120"/>
      <w:bookmarkEnd w:id="11"/>
      <w:r w:rsidRPr="004A01C2">
        <w:rPr>
          <w:sz w:val="32"/>
          <w:szCs w:val="32"/>
          <w:rtl/>
        </w:rPr>
        <w:t>من حيث إن الطعن استوفى الشكل المقرر في القانون</w:t>
      </w:r>
      <w:r w:rsidRPr="004A01C2">
        <w:rPr>
          <w:sz w:val="32"/>
          <w:szCs w:val="32"/>
        </w:rPr>
        <w:t>.</w:t>
      </w:r>
    </w:p>
    <w:p w:rsidR="004A01C2" w:rsidRPr="004A01C2" w:rsidRDefault="004A01C2" w:rsidP="004A01C2">
      <w:pPr>
        <w:rPr>
          <w:sz w:val="32"/>
          <w:szCs w:val="32"/>
        </w:rPr>
      </w:pPr>
      <w:bookmarkStart w:id="12" w:name="Anchor125"/>
      <w:bookmarkEnd w:id="12"/>
      <w:r w:rsidRPr="004A01C2">
        <w:rPr>
          <w:sz w:val="32"/>
          <w:szCs w:val="32"/>
          <w:rtl/>
        </w:rPr>
        <w:t xml:space="preserve">ومن حيث إن الطاعن ينعي على الحكم المطعون فيه أنه إذ دانه بجريمة إحراز مواد مخدرة </w:t>
      </w:r>
      <w:r w:rsidRPr="004A01C2">
        <w:rPr>
          <w:sz w:val="32"/>
          <w:szCs w:val="32"/>
        </w:rPr>
        <w:t>"</w:t>
      </w:r>
      <w:r w:rsidRPr="004A01C2">
        <w:rPr>
          <w:sz w:val="32"/>
          <w:szCs w:val="32"/>
          <w:rtl/>
        </w:rPr>
        <w:t xml:space="preserve">الهيروين والمورفين والحشيش" بقصد التعاطي حالة كونه عائداً قد شابه </w:t>
      </w:r>
      <w:r w:rsidRPr="004A01C2">
        <w:rPr>
          <w:sz w:val="32"/>
          <w:szCs w:val="32"/>
          <w:rtl/>
        </w:rPr>
        <w:lastRenderedPageBreak/>
        <w:t>القصور في التسبيب، والفساد في الاستدلال، والإخلال بحق الدفاع، ذلك بأنه دفع ببطلان القبض عليه وما تلاه من إجراءات وما أسفر عنه من أدلة لإجرائه بغير إذن من النيابة العامة، ودون توافر حالة التلبس في حقه إلا أن الحكم أطرح هذا الدفع برد قاصر وغير سائغ، هذا إلى أنه نظراً لكونه مدمناً على تعاطي المواد المخدرة فقد طلب إلى المحكمة إيداعه إحدى المصحات لعلاجه من الإدمان إعمالاً لنص المادة 33/2 من القانون رقم 74 لسنة 1983 في شأن مكافحة المخدرات وتنظيم استعمالها والإتجار فيها إلا أن المحكمة لم تجبه إلى طلبه، وأخيراً فقد التفت الحكم عن أوجه دفاعه ودفوعه الجوهرية التي تضمنتها مذكرة دفاعه بجلسه نظر معارضته، كل ذلك يعيب الحكم ويستوجب تمييزه</w:t>
      </w:r>
      <w:r w:rsidRPr="004A01C2">
        <w:rPr>
          <w:sz w:val="32"/>
          <w:szCs w:val="32"/>
        </w:rPr>
        <w:t>.</w:t>
      </w:r>
    </w:p>
    <w:p w:rsidR="004A01C2" w:rsidRPr="004A01C2" w:rsidRDefault="004A01C2" w:rsidP="004A01C2">
      <w:pPr>
        <w:rPr>
          <w:sz w:val="32"/>
          <w:szCs w:val="32"/>
        </w:rPr>
      </w:pPr>
      <w:bookmarkStart w:id="13" w:name="Anchor199"/>
      <w:bookmarkEnd w:id="13"/>
      <w:r w:rsidRPr="004A01C2">
        <w:rPr>
          <w:sz w:val="32"/>
          <w:szCs w:val="32"/>
          <w:rtl/>
        </w:rPr>
        <w:t xml:space="preserve">ومن حيث إن الحكم المطعون فيه بين واقعة الدعوى بما مؤداه أنه بتاريخ 2012/8/18 حضر المدعو أحمد عايد العنزي إلى مخفر شرطة </w:t>
      </w:r>
      <w:r w:rsidRPr="004A01C2">
        <w:rPr>
          <w:sz w:val="32"/>
          <w:szCs w:val="32"/>
        </w:rPr>
        <w:t>........</w:t>
      </w:r>
      <w:r w:rsidRPr="004A01C2">
        <w:rPr>
          <w:sz w:val="32"/>
          <w:szCs w:val="32"/>
          <w:rtl/>
        </w:rPr>
        <w:t>، وبصحبته شقيقه الطاعن وكان في حالة غير طبيعية، حيث تقابل مع ضابط الواقعة وأخبره أن شقيقه الطاعن يتعاطى المواد المخدرة، وقدم له كيساً صغيراً بداخله قطعتين يشتبه أنها لمادة مخدرة قرر أنها تخص شقيقه الطاعن بقصد التعاطي</w:t>
      </w:r>
      <w:r w:rsidRPr="004A01C2">
        <w:rPr>
          <w:sz w:val="32"/>
          <w:szCs w:val="32"/>
        </w:rPr>
        <w:t>.</w:t>
      </w:r>
    </w:p>
    <w:p w:rsidR="004A01C2" w:rsidRPr="004A01C2" w:rsidRDefault="004A01C2" w:rsidP="004A01C2">
      <w:pPr>
        <w:rPr>
          <w:sz w:val="32"/>
          <w:szCs w:val="32"/>
        </w:rPr>
      </w:pPr>
      <w:bookmarkStart w:id="14" w:name="Anchor231"/>
      <w:bookmarkEnd w:id="14"/>
      <w:r w:rsidRPr="004A01C2">
        <w:rPr>
          <w:sz w:val="32"/>
          <w:szCs w:val="32"/>
          <w:rtl/>
        </w:rPr>
        <w:t xml:space="preserve">وساق الحكم على ثبوت الواقعة في حق الطاعن </w:t>
      </w:r>
      <w:r w:rsidRPr="004A01C2">
        <w:rPr>
          <w:sz w:val="32"/>
          <w:szCs w:val="32"/>
        </w:rPr>
        <w:t xml:space="preserve">– </w:t>
      </w:r>
      <w:r w:rsidRPr="004A01C2">
        <w:rPr>
          <w:sz w:val="32"/>
          <w:szCs w:val="32"/>
          <w:rtl/>
        </w:rPr>
        <w:t xml:space="preserve">على هذه الصورة </w:t>
      </w:r>
      <w:r w:rsidRPr="004A01C2">
        <w:rPr>
          <w:sz w:val="32"/>
          <w:szCs w:val="32"/>
        </w:rPr>
        <w:t xml:space="preserve">– </w:t>
      </w:r>
      <w:r w:rsidRPr="004A01C2">
        <w:rPr>
          <w:sz w:val="32"/>
          <w:szCs w:val="32"/>
          <w:rtl/>
        </w:rPr>
        <w:t>أدلة استقاها من شهادة ضابط الواقعة، ومما ثبت من تقريري الإدارة العامة للأدلة الجنائية، وهي أدلة سائغة من شأنها أن تؤدي إلى ما رتبه الحكم عليها</w:t>
      </w:r>
      <w:r w:rsidRPr="004A01C2">
        <w:rPr>
          <w:sz w:val="32"/>
          <w:szCs w:val="32"/>
        </w:rPr>
        <w:t>.</w:t>
      </w:r>
    </w:p>
    <w:p w:rsidR="004A01C2" w:rsidRPr="004A01C2" w:rsidRDefault="004A01C2" w:rsidP="004A01C2">
      <w:pPr>
        <w:rPr>
          <w:sz w:val="32"/>
          <w:szCs w:val="32"/>
        </w:rPr>
      </w:pPr>
      <w:bookmarkStart w:id="15" w:name="Anchor254"/>
      <w:bookmarkStart w:id="16" w:name="TM2014_78_1"/>
      <w:bookmarkEnd w:id="15"/>
      <w:bookmarkEnd w:id="16"/>
      <w:r w:rsidRPr="004A01C2">
        <w:rPr>
          <w:b/>
          <w:bCs/>
          <w:sz w:val="32"/>
          <w:szCs w:val="32"/>
          <w:rtl/>
        </w:rPr>
        <w:t>لما كان ذلك، وكان من المقرر أن من الواجبات المفروضة قانوناً على رجال الشرطة أن يقبلوا التبليغات التي ترد إليهم بشأن الجرائم، وأن يقوموا بأنفسهم أو بواسطة مرؤوسيهم بإجراء التحريات اللازمة عن الوقائع التي يعلمون بها بأي كيفية كانت وأن يستحصلوا على جميع الإيضاحات والاستدلالات المؤدية إلى ثبوت أو نفي الوقائع المبلغ بها إليهم أو التي يشاهدونها بأنفسهم</w:t>
      </w:r>
    </w:p>
    <w:p w:rsidR="004A01C2" w:rsidRPr="004A01C2" w:rsidRDefault="004A01C2" w:rsidP="004A01C2">
      <w:pPr>
        <w:rPr>
          <w:sz w:val="32"/>
          <w:szCs w:val="32"/>
        </w:rPr>
      </w:pPr>
      <w:bookmarkStart w:id="17" w:name="Anchor288"/>
      <w:bookmarkStart w:id="18" w:name="TM2014_78_2"/>
      <w:bookmarkEnd w:id="17"/>
      <w:bookmarkEnd w:id="18"/>
      <w:r w:rsidRPr="004A01C2">
        <w:rPr>
          <w:b/>
          <w:bCs/>
          <w:sz w:val="32"/>
          <w:szCs w:val="32"/>
          <w:rtl/>
        </w:rPr>
        <w:t xml:space="preserve">كما أن المادتين </w:t>
      </w:r>
      <w:r w:rsidRPr="004A01C2">
        <w:rPr>
          <w:b/>
          <w:bCs/>
          <w:sz w:val="32"/>
          <w:szCs w:val="32"/>
        </w:rPr>
        <w:t>40</w:t>
      </w:r>
      <w:r w:rsidRPr="004A01C2">
        <w:rPr>
          <w:b/>
          <w:bCs/>
          <w:sz w:val="32"/>
          <w:szCs w:val="32"/>
          <w:rtl/>
        </w:rPr>
        <w:t xml:space="preserve">، </w:t>
      </w:r>
      <w:r w:rsidRPr="004A01C2">
        <w:rPr>
          <w:b/>
          <w:bCs/>
          <w:sz w:val="32"/>
          <w:szCs w:val="32"/>
        </w:rPr>
        <w:t xml:space="preserve">41 </w:t>
      </w:r>
      <w:r w:rsidRPr="004A01C2">
        <w:rPr>
          <w:b/>
          <w:bCs/>
          <w:sz w:val="32"/>
          <w:szCs w:val="32"/>
          <w:rtl/>
        </w:rPr>
        <w:t>من قانون الإجراءات والمحاكمات الجزائية تخول رجال الشرطة أثناء جمع الاستدلالات والتحري أن يسمعوا أقوال ممن يكون لديهم معلومات عن الوقائع الجنائية أو مرتكبيها، وأن يسألوا المتهم عن ذلك</w:t>
      </w:r>
      <w:r w:rsidRPr="004A01C2">
        <w:rPr>
          <w:b/>
          <w:bCs/>
          <w:sz w:val="32"/>
          <w:szCs w:val="32"/>
        </w:rPr>
        <w:t>.</w:t>
      </w:r>
    </w:p>
    <w:p w:rsidR="004A01C2" w:rsidRPr="004A01C2" w:rsidRDefault="004A01C2" w:rsidP="004A01C2">
      <w:pPr>
        <w:rPr>
          <w:sz w:val="32"/>
          <w:szCs w:val="32"/>
        </w:rPr>
      </w:pPr>
      <w:bookmarkStart w:id="19" w:name="Anchor309"/>
      <w:bookmarkStart w:id="20" w:name="TM2014_78_3"/>
      <w:bookmarkEnd w:id="19"/>
      <w:bookmarkEnd w:id="20"/>
      <w:r w:rsidRPr="004A01C2">
        <w:rPr>
          <w:b/>
          <w:bCs/>
          <w:sz w:val="32"/>
          <w:szCs w:val="32"/>
          <w:rtl/>
        </w:rPr>
        <w:t>وكان ما قام به ضابط الواقعة من إجراء سؤال الطاعن عن الاتهام الموجه إليه بتعاطي المواد المخدرة بعد أن شاهده بحالة غير طبيعية، وسماعه أقوال شقيقه الذي أكد صحة هذا الاتهام وقدم للضابط كيساً يحوي بعضا من المخدرات التي يتعاطاها شقيقه وذلك قبل عرضه على النيابة العامة لا يخرج عن نطاق جمع الاستدلالات طالما أنه لم يتضمن تعرضاً مادياً له يمكن أن يكون فيه مساس بحريته الشخصية أو تقييد لها مما قد يلتبس حينئذ بإجراء القبض المحظور على رجال الشرطة في غير الحالات المنصوص عليها في القانون، وإذ كان الطاعن لا ينازع في أن ما حصله الحكم في هذا الخصوص له معينه الصحيح من الأوراق، كما أنه لا يدعي اصطحاب شقيقه له إلى مخفر الشرطة كان مقروناً بإكراه ينتقص من حريته، ومن ثم فإن هذه الإجراءات التي قام بها ضابط الواقعة تعد من قبيل إجراءات الاستدلال والبحث والتي أجازها القانون لرجال الشرطة، وهي إجراءات صحيحة لا بطلان فيها، ويمكن للمحكمة التعويل على ما أسفرت عنه من قرائن وأدلة ومنها أقوال الضابط الذي أجراها، وإذ التزم الحكم المطعون فيه هذا النظر في الرد على الدفع المبدى من الطاعن ببطلان القبض عليه، فإنه يكون قد وافق صحيح القانون،</w:t>
      </w:r>
    </w:p>
    <w:p w:rsidR="004A01C2" w:rsidRPr="004A01C2" w:rsidRDefault="004A01C2" w:rsidP="004A01C2">
      <w:pPr>
        <w:rPr>
          <w:sz w:val="32"/>
          <w:szCs w:val="32"/>
        </w:rPr>
      </w:pPr>
      <w:bookmarkStart w:id="21" w:name="Anchor404"/>
      <w:bookmarkStart w:id="22" w:name="TM2014_78_4"/>
      <w:bookmarkEnd w:id="21"/>
      <w:bookmarkEnd w:id="22"/>
      <w:r w:rsidRPr="004A01C2">
        <w:rPr>
          <w:b/>
          <w:bCs/>
          <w:sz w:val="32"/>
          <w:szCs w:val="32"/>
          <w:rtl/>
        </w:rPr>
        <w:t xml:space="preserve">هذا فضلاً عن إن ما أثبته الحكم </w:t>
      </w:r>
      <w:r w:rsidRPr="004A01C2">
        <w:rPr>
          <w:b/>
          <w:bCs/>
          <w:sz w:val="32"/>
          <w:szCs w:val="32"/>
        </w:rPr>
        <w:t xml:space="preserve">– </w:t>
      </w:r>
      <w:r w:rsidRPr="004A01C2">
        <w:rPr>
          <w:b/>
          <w:bCs/>
          <w:sz w:val="32"/>
          <w:szCs w:val="32"/>
          <w:rtl/>
        </w:rPr>
        <w:t xml:space="preserve">على ما سلف ذكره </w:t>
      </w:r>
      <w:r w:rsidRPr="004A01C2">
        <w:rPr>
          <w:b/>
          <w:bCs/>
          <w:sz w:val="32"/>
          <w:szCs w:val="32"/>
        </w:rPr>
        <w:t xml:space="preserve">– </w:t>
      </w:r>
      <w:r w:rsidRPr="004A01C2">
        <w:rPr>
          <w:b/>
          <w:bCs/>
          <w:sz w:val="32"/>
          <w:szCs w:val="32"/>
          <w:rtl/>
        </w:rPr>
        <w:t xml:space="preserve">من وجود الطاعن في حالة غير طبيعية، وشهادة شقيقه أمام ضابط الواقعة بتعاطيه المواد المخدرة، وتقديمه كيسا يحوي بعض تلك المواد التي يتعاطاها الطاعن للضابط المذكور هو ما يكفي لاعتبار ذلك من الأدلة القوية التي تجيز لرجل الشرطة القبض عليه </w:t>
      </w:r>
      <w:r w:rsidRPr="004A01C2">
        <w:rPr>
          <w:b/>
          <w:bCs/>
          <w:sz w:val="32"/>
          <w:szCs w:val="32"/>
        </w:rPr>
        <w:t xml:space="preserve">– </w:t>
      </w:r>
      <w:r w:rsidRPr="004A01C2">
        <w:rPr>
          <w:b/>
          <w:bCs/>
          <w:sz w:val="32"/>
          <w:szCs w:val="32"/>
          <w:rtl/>
        </w:rPr>
        <w:t xml:space="preserve">بدون أمر </w:t>
      </w:r>
      <w:r w:rsidRPr="004A01C2">
        <w:rPr>
          <w:b/>
          <w:bCs/>
          <w:sz w:val="32"/>
          <w:szCs w:val="32"/>
        </w:rPr>
        <w:t xml:space="preserve">– </w:t>
      </w:r>
      <w:r w:rsidRPr="004A01C2">
        <w:rPr>
          <w:b/>
          <w:bCs/>
          <w:sz w:val="32"/>
          <w:szCs w:val="32"/>
          <w:rtl/>
        </w:rPr>
        <w:t>عملاً بما نصت عليه الفقرة الأولى من المادة 54 من قانون الإجراءات والمحاكمات الجزائية، ومن ثم يضحي منعى الطاعن في هذا الصدد في غير محله</w:t>
      </w:r>
      <w:r w:rsidRPr="004A01C2">
        <w:rPr>
          <w:b/>
          <w:bCs/>
          <w:sz w:val="32"/>
          <w:szCs w:val="32"/>
        </w:rPr>
        <w:t>.</w:t>
      </w:r>
    </w:p>
    <w:p w:rsidR="004A01C2" w:rsidRPr="004A01C2" w:rsidRDefault="004A01C2" w:rsidP="004A01C2">
      <w:pPr>
        <w:rPr>
          <w:sz w:val="32"/>
          <w:szCs w:val="32"/>
        </w:rPr>
      </w:pPr>
      <w:bookmarkStart w:id="23" w:name="Anchor450"/>
      <w:bookmarkEnd w:id="23"/>
      <w:r w:rsidRPr="004A01C2">
        <w:rPr>
          <w:sz w:val="32"/>
          <w:szCs w:val="32"/>
          <w:rtl/>
        </w:rPr>
        <w:t xml:space="preserve">لما كان ذلك، </w:t>
      </w:r>
      <w:bookmarkStart w:id="24" w:name="TM2014_78_5"/>
      <w:bookmarkEnd w:id="24"/>
      <w:r w:rsidRPr="004A01C2">
        <w:rPr>
          <w:b/>
          <w:bCs/>
          <w:sz w:val="32"/>
          <w:szCs w:val="32"/>
          <w:rtl/>
        </w:rPr>
        <w:t>وكان مؤدى ما نصت عليه المادة 33/2 من القانون رقم 74 لسنة 1983 في شأن مكافحة المخدرات وتنظيم استعمالها والإتجار فيها أن للمحكمة اتخاذ التدبير العلاجي في حالة ثبوت الإدمان على تعاطي المخدرات بالإيداع في إحدى المصحات العلاجية، هو أمر جوازي لمحكمة الموضوع تستعمله أو لا تستعمله حسبما يتراءى لها من ظروف الدعوى وملابساتها،</w:t>
      </w:r>
      <w:r w:rsidRPr="004A01C2">
        <w:rPr>
          <w:sz w:val="32"/>
          <w:szCs w:val="32"/>
          <w:rtl/>
        </w:rPr>
        <w:t xml:space="preserve"> وكان الحكم المطعون فيه </w:t>
      </w:r>
      <w:r w:rsidRPr="004A01C2">
        <w:rPr>
          <w:sz w:val="32"/>
          <w:szCs w:val="32"/>
        </w:rPr>
        <w:t xml:space="preserve">– </w:t>
      </w:r>
      <w:r w:rsidRPr="004A01C2">
        <w:rPr>
          <w:sz w:val="32"/>
          <w:szCs w:val="32"/>
          <w:rtl/>
        </w:rPr>
        <w:t xml:space="preserve">في حدود سلطته التقديرية </w:t>
      </w:r>
      <w:r w:rsidRPr="004A01C2">
        <w:rPr>
          <w:sz w:val="32"/>
          <w:szCs w:val="32"/>
        </w:rPr>
        <w:t xml:space="preserve">– </w:t>
      </w:r>
      <w:r w:rsidRPr="004A01C2">
        <w:rPr>
          <w:sz w:val="32"/>
          <w:szCs w:val="32"/>
          <w:rtl/>
        </w:rPr>
        <w:t>لم يجب الطاعن إلى طلبه في هذا الخصوص لما ثبت للمحكمة من سبق معاملة الطاعن بهذه الرخصة مرتين في قضيتين سابقتين دون أن يؤتي هذا التدبير ثمة نتيجة في إصلاحه وعلاجه وهو تبرير سائغ لرفض هذا الطلب، وإذ كانت العقوبة الوقعة على الطاعن تدخل في حدود العقوبة المقررة للجريمة التي دين بها، فإن النعي على الحكم بشأن ما تقدم يكون في غير محله</w:t>
      </w:r>
      <w:r w:rsidRPr="004A01C2">
        <w:rPr>
          <w:sz w:val="32"/>
          <w:szCs w:val="32"/>
        </w:rPr>
        <w:t>.</w:t>
      </w:r>
    </w:p>
    <w:p w:rsidR="004A01C2" w:rsidRPr="004A01C2" w:rsidRDefault="004A01C2" w:rsidP="004A01C2">
      <w:pPr>
        <w:rPr>
          <w:sz w:val="32"/>
          <w:szCs w:val="32"/>
        </w:rPr>
      </w:pPr>
      <w:bookmarkStart w:id="25" w:name="Anchor521"/>
      <w:bookmarkEnd w:id="25"/>
      <w:r w:rsidRPr="004A01C2">
        <w:rPr>
          <w:sz w:val="32"/>
          <w:szCs w:val="32"/>
          <w:rtl/>
        </w:rPr>
        <w:t xml:space="preserve">لما كان ذلك، وكان </w:t>
      </w:r>
      <w:bookmarkStart w:id="26" w:name="TM2014_78_6"/>
      <w:bookmarkEnd w:id="26"/>
      <w:r w:rsidRPr="004A01C2">
        <w:rPr>
          <w:b/>
          <w:bCs/>
          <w:sz w:val="32"/>
          <w:szCs w:val="32"/>
          <w:rtl/>
        </w:rPr>
        <w:t>من المقرر أنه يجب لقبول وجه الطعن أن يكون واضحاً محدداً وكان الطاعن لم يكشف في أسباب طعنه عن ماهية أوجه الدفاع والدفوع الجوهرية التي أبداها في مذكرة دفاعه المقدمة بالجلسة التي نظرت فيها معارضته، والتي أمسكت المحكمة عن التعرض لها حتى يتضح مدى أهميتها في الدعوى، فإن ما يثيره الطاعن في هذا الصدد يكون مجهلاً وغير مقبول</w:t>
      </w:r>
      <w:r w:rsidRPr="004A01C2">
        <w:rPr>
          <w:b/>
          <w:bCs/>
          <w:sz w:val="32"/>
          <w:szCs w:val="32"/>
        </w:rPr>
        <w:t>.</w:t>
      </w:r>
    </w:p>
    <w:p w:rsidR="004A01C2" w:rsidRPr="004A01C2" w:rsidRDefault="004A01C2" w:rsidP="004A01C2">
      <w:pPr>
        <w:rPr>
          <w:sz w:val="32"/>
          <w:szCs w:val="32"/>
        </w:rPr>
      </w:pPr>
      <w:bookmarkStart w:id="27" w:name="Anchor553"/>
      <w:bookmarkEnd w:id="27"/>
      <w:r w:rsidRPr="004A01C2">
        <w:rPr>
          <w:sz w:val="32"/>
          <w:szCs w:val="32"/>
          <w:rtl/>
        </w:rPr>
        <w:t>لما كان ما تقدم، فإن الطعن يكون على غير أساس متعيناً رفضه موضوعاً</w:t>
      </w:r>
      <w:r w:rsidRPr="004A01C2">
        <w:rPr>
          <w:sz w:val="32"/>
          <w:szCs w:val="32"/>
        </w:rPr>
        <w:t>.</w:t>
      </w:r>
    </w:p>
    <w:p w:rsidR="004A01C2" w:rsidRPr="004A01C2" w:rsidRDefault="004A01C2" w:rsidP="004A01C2">
      <w:pPr>
        <w:rPr>
          <w:sz w:val="32"/>
          <w:szCs w:val="32"/>
        </w:rPr>
      </w:pPr>
      <w:bookmarkStart w:id="28" w:name="Anchor560"/>
      <w:bookmarkEnd w:id="28"/>
      <w:r w:rsidRPr="004A01C2">
        <w:rPr>
          <w:b/>
          <w:bCs/>
          <w:sz w:val="32"/>
          <w:szCs w:val="32"/>
          <w:rtl/>
        </w:rPr>
        <w:t>فلهذه الأسباب</w:t>
      </w:r>
    </w:p>
    <w:p w:rsidR="004A01C2" w:rsidRPr="004A01C2" w:rsidRDefault="004A01C2" w:rsidP="004A01C2">
      <w:pPr>
        <w:rPr>
          <w:sz w:val="32"/>
          <w:szCs w:val="32"/>
        </w:rPr>
      </w:pPr>
      <w:bookmarkStart w:id="29" w:name="Anchor562"/>
      <w:bookmarkEnd w:id="29"/>
      <w:r w:rsidRPr="004A01C2">
        <w:rPr>
          <w:b/>
          <w:bCs/>
          <w:sz w:val="32"/>
          <w:szCs w:val="32"/>
          <w:rtl/>
        </w:rPr>
        <w:t>حكمت المحكمة</w:t>
      </w:r>
      <w:r w:rsidRPr="004A01C2">
        <w:rPr>
          <w:b/>
          <w:bCs/>
          <w:sz w:val="32"/>
          <w:szCs w:val="32"/>
        </w:rPr>
        <w:t>:</w:t>
      </w:r>
      <w:r w:rsidRPr="004A01C2">
        <w:rPr>
          <w:sz w:val="32"/>
          <w:szCs w:val="32"/>
        </w:rPr>
        <w:t xml:space="preserve"> </w:t>
      </w:r>
      <w:r w:rsidRPr="004A01C2">
        <w:rPr>
          <w:sz w:val="32"/>
          <w:szCs w:val="32"/>
          <w:rtl/>
        </w:rPr>
        <w:t>بقبول الطعن شكلاً وفي الموضوع برفضه</w:t>
      </w:r>
      <w:r w:rsidRPr="004A01C2">
        <w:rPr>
          <w:sz w:val="32"/>
          <w:szCs w:val="32"/>
        </w:rPr>
        <w:t>.</w:t>
      </w:r>
    </w:p>
    <w:p w:rsidR="004A01C2" w:rsidRPr="004A01C2" w:rsidRDefault="004A01C2" w:rsidP="004A01C2">
      <w:pPr>
        <w:rPr>
          <w:sz w:val="32"/>
          <w:szCs w:val="32"/>
        </w:rPr>
      </w:pPr>
    </w:p>
    <w:p w:rsidR="004A01C2" w:rsidRPr="004A01C2" w:rsidRDefault="004A01C2" w:rsidP="004A01C2">
      <w:pPr>
        <w:rPr>
          <w:sz w:val="32"/>
          <w:szCs w:val="32"/>
        </w:rPr>
      </w:pPr>
      <w:bookmarkStart w:id="30" w:name="Anchor568"/>
      <w:bookmarkEnd w:id="30"/>
      <w:r w:rsidRPr="004A01C2">
        <w:rPr>
          <w:sz w:val="32"/>
          <w:szCs w:val="32"/>
        </w:rPr>
        <w:t>* * *</w:t>
      </w:r>
    </w:p>
    <w:p w:rsidR="00F65C94" w:rsidRPr="004A01C2" w:rsidRDefault="00F65C94">
      <w:pPr>
        <w:rPr>
          <w:sz w:val="32"/>
          <w:szCs w:val="32"/>
        </w:rPr>
      </w:pPr>
    </w:p>
    <w:sectPr w:rsidR="00F65C94" w:rsidRPr="004A01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07"/>
    <w:rsid w:val="0003272B"/>
    <w:rsid w:val="00280E07"/>
    <w:rsid w:val="004A01C2"/>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1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1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7447">
      <w:bodyDiv w:val="1"/>
      <w:marLeft w:val="0"/>
      <w:marRight w:val="0"/>
      <w:marTop w:val="0"/>
      <w:marBottom w:val="0"/>
      <w:divBdr>
        <w:top w:val="none" w:sz="0" w:space="0" w:color="auto"/>
        <w:left w:val="none" w:sz="0" w:space="0" w:color="auto"/>
        <w:bottom w:val="none" w:sz="0" w:space="0" w:color="auto"/>
        <w:right w:val="none" w:sz="0" w:space="0" w:color="auto"/>
      </w:divBdr>
      <w:divsChild>
        <w:div w:id="623927283">
          <w:marLeft w:val="0"/>
          <w:marRight w:val="0"/>
          <w:marTop w:val="0"/>
          <w:marBottom w:val="0"/>
          <w:divBdr>
            <w:top w:val="none" w:sz="0" w:space="0" w:color="auto"/>
            <w:left w:val="none" w:sz="0" w:space="0" w:color="auto"/>
            <w:bottom w:val="none" w:sz="0" w:space="0" w:color="auto"/>
            <w:right w:val="none" w:sz="0" w:space="0" w:color="auto"/>
          </w:divBdr>
        </w:div>
        <w:div w:id="527067777">
          <w:marLeft w:val="0"/>
          <w:marRight w:val="0"/>
          <w:marTop w:val="0"/>
          <w:marBottom w:val="0"/>
          <w:divBdr>
            <w:top w:val="none" w:sz="0" w:space="0" w:color="auto"/>
            <w:left w:val="none" w:sz="0" w:space="0" w:color="auto"/>
            <w:bottom w:val="none" w:sz="0" w:space="0" w:color="auto"/>
            <w:right w:val="none" w:sz="0" w:space="0" w:color="auto"/>
          </w:divBdr>
        </w:div>
        <w:div w:id="1890795966">
          <w:marLeft w:val="0"/>
          <w:marRight w:val="0"/>
          <w:marTop w:val="0"/>
          <w:marBottom w:val="0"/>
          <w:divBdr>
            <w:top w:val="none" w:sz="0" w:space="0" w:color="auto"/>
            <w:left w:val="none" w:sz="0" w:space="0" w:color="auto"/>
            <w:bottom w:val="none" w:sz="0" w:space="0" w:color="auto"/>
            <w:right w:val="none" w:sz="0" w:space="0" w:color="auto"/>
          </w:divBdr>
        </w:div>
        <w:div w:id="1092167985">
          <w:marLeft w:val="0"/>
          <w:marRight w:val="0"/>
          <w:marTop w:val="0"/>
          <w:marBottom w:val="0"/>
          <w:divBdr>
            <w:top w:val="none" w:sz="0" w:space="0" w:color="auto"/>
            <w:left w:val="none" w:sz="0" w:space="0" w:color="auto"/>
            <w:bottom w:val="none" w:sz="0" w:space="0" w:color="auto"/>
            <w:right w:val="none" w:sz="0" w:space="0" w:color="auto"/>
          </w:divBdr>
        </w:div>
        <w:div w:id="1202278384">
          <w:marLeft w:val="0"/>
          <w:marRight w:val="0"/>
          <w:marTop w:val="0"/>
          <w:marBottom w:val="0"/>
          <w:divBdr>
            <w:top w:val="none" w:sz="0" w:space="0" w:color="auto"/>
            <w:left w:val="none" w:sz="0" w:space="0" w:color="auto"/>
            <w:bottom w:val="none" w:sz="0" w:space="0" w:color="auto"/>
            <w:right w:val="none" w:sz="0" w:space="0" w:color="auto"/>
          </w:divBdr>
        </w:div>
        <w:div w:id="1066031800">
          <w:marLeft w:val="0"/>
          <w:marRight w:val="0"/>
          <w:marTop w:val="0"/>
          <w:marBottom w:val="0"/>
          <w:divBdr>
            <w:top w:val="none" w:sz="0" w:space="0" w:color="auto"/>
            <w:left w:val="none" w:sz="0" w:space="0" w:color="auto"/>
            <w:bottom w:val="none" w:sz="0" w:space="0" w:color="auto"/>
            <w:right w:val="none" w:sz="0" w:space="0" w:color="auto"/>
          </w:divBdr>
        </w:div>
        <w:div w:id="1928225604">
          <w:marLeft w:val="0"/>
          <w:marRight w:val="0"/>
          <w:marTop w:val="0"/>
          <w:marBottom w:val="0"/>
          <w:divBdr>
            <w:top w:val="none" w:sz="0" w:space="0" w:color="auto"/>
            <w:left w:val="none" w:sz="0" w:space="0" w:color="auto"/>
            <w:bottom w:val="none" w:sz="0" w:space="0" w:color="auto"/>
            <w:right w:val="none" w:sz="0" w:space="0" w:color="auto"/>
          </w:divBdr>
        </w:div>
        <w:div w:id="1125852321">
          <w:marLeft w:val="0"/>
          <w:marRight w:val="0"/>
          <w:marTop w:val="0"/>
          <w:marBottom w:val="0"/>
          <w:divBdr>
            <w:top w:val="none" w:sz="0" w:space="0" w:color="auto"/>
            <w:left w:val="none" w:sz="0" w:space="0" w:color="auto"/>
            <w:bottom w:val="none" w:sz="0" w:space="0" w:color="auto"/>
            <w:right w:val="none" w:sz="0" w:space="0" w:color="auto"/>
          </w:divBdr>
        </w:div>
        <w:div w:id="1031371519">
          <w:marLeft w:val="0"/>
          <w:marRight w:val="0"/>
          <w:marTop w:val="0"/>
          <w:marBottom w:val="0"/>
          <w:divBdr>
            <w:top w:val="none" w:sz="0" w:space="0" w:color="auto"/>
            <w:left w:val="none" w:sz="0" w:space="0" w:color="auto"/>
            <w:bottom w:val="none" w:sz="0" w:space="0" w:color="auto"/>
            <w:right w:val="none" w:sz="0" w:space="0" w:color="auto"/>
          </w:divBdr>
        </w:div>
        <w:div w:id="693268153">
          <w:marLeft w:val="0"/>
          <w:marRight w:val="0"/>
          <w:marTop w:val="0"/>
          <w:marBottom w:val="0"/>
          <w:divBdr>
            <w:top w:val="none" w:sz="0" w:space="0" w:color="auto"/>
            <w:left w:val="none" w:sz="0" w:space="0" w:color="auto"/>
            <w:bottom w:val="none" w:sz="0" w:space="0" w:color="auto"/>
            <w:right w:val="none" w:sz="0" w:space="0" w:color="auto"/>
          </w:divBdr>
        </w:div>
        <w:div w:id="1611693808">
          <w:marLeft w:val="0"/>
          <w:marRight w:val="0"/>
          <w:marTop w:val="0"/>
          <w:marBottom w:val="0"/>
          <w:divBdr>
            <w:top w:val="none" w:sz="0" w:space="0" w:color="auto"/>
            <w:left w:val="none" w:sz="0" w:space="0" w:color="auto"/>
            <w:bottom w:val="none" w:sz="0" w:space="0" w:color="auto"/>
            <w:right w:val="none" w:sz="0" w:space="0" w:color="auto"/>
          </w:divBdr>
        </w:div>
        <w:div w:id="1724595181">
          <w:marLeft w:val="0"/>
          <w:marRight w:val="0"/>
          <w:marTop w:val="0"/>
          <w:marBottom w:val="0"/>
          <w:divBdr>
            <w:top w:val="none" w:sz="0" w:space="0" w:color="auto"/>
            <w:left w:val="none" w:sz="0" w:space="0" w:color="auto"/>
            <w:bottom w:val="none" w:sz="0" w:space="0" w:color="auto"/>
            <w:right w:val="none" w:sz="0" w:space="0" w:color="auto"/>
          </w:divBdr>
        </w:div>
        <w:div w:id="185559813">
          <w:marLeft w:val="0"/>
          <w:marRight w:val="0"/>
          <w:marTop w:val="0"/>
          <w:marBottom w:val="0"/>
          <w:divBdr>
            <w:top w:val="none" w:sz="0" w:space="0" w:color="auto"/>
            <w:left w:val="none" w:sz="0" w:space="0" w:color="auto"/>
            <w:bottom w:val="none" w:sz="0" w:space="0" w:color="auto"/>
            <w:right w:val="none" w:sz="0" w:space="0" w:color="auto"/>
          </w:divBdr>
        </w:div>
        <w:div w:id="1428962339">
          <w:marLeft w:val="0"/>
          <w:marRight w:val="0"/>
          <w:marTop w:val="0"/>
          <w:marBottom w:val="0"/>
          <w:divBdr>
            <w:top w:val="none" w:sz="0" w:space="0" w:color="auto"/>
            <w:left w:val="none" w:sz="0" w:space="0" w:color="auto"/>
            <w:bottom w:val="none" w:sz="0" w:space="0" w:color="auto"/>
            <w:right w:val="none" w:sz="0" w:space="0" w:color="auto"/>
          </w:divBdr>
        </w:div>
        <w:div w:id="296648614">
          <w:marLeft w:val="0"/>
          <w:marRight w:val="0"/>
          <w:marTop w:val="0"/>
          <w:marBottom w:val="0"/>
          <w:divBdr>
            <w:top w:val="none" w:sz="0" w:space="0" w:color="auto"/>
            <w:left w:val="none" w:sz="0" w:space="0" w:color="auto"/>
            <w:bottom w:val="none" w:sz="0" w:space="0" w:color="auto"/>
            <w:right w:val="none" w:sz="0" w:space="0" w:color="auto"/>
          </w:divBdr>
        </w:div>
        <w:div w:id="617836851">
          <w:marLeft w:val="0"/>
          <w:marRight w:val="0"/>
          <w:marTop w:val="0"/>
          <w:marBottom w:val="0"/>
          <w:divBdr>
            <w:top w:val="none" w:sz="0" w:space="0" w:color="auto"/>
            <w:left w:val="none" w:sz="0" w:space="0" w:color="auto"/>
            <w:bottom w:val="none" w:sz="0" w:space="0" w:color="auto"/>
            <w:right w:val="none" w:sz="0" w:space="0" w:color="auto"/>
          </w:divBdr>
        </w:div>
        <w:div w:id="1698237407">
          <w:marLeft w:val="0"/>
          <w:marRight w:val="0"/>
          <w:marTop w:val="0"/>
          <w:marBottom w:val="0"/>
          <w:divBdr>
            <w:top w:val="none" w:sz="0" w:space="0" w:color="auto"/>
            <w:left w:val="none" w:sz="0" w:space="0" w:color="auto"/>
            <w:bottom w:val="none" w:sz="0" w:space="0" w:color="auto"/>
            <w:right w:val="none" w:sz="0" w:space="0" w:color="auto"/>
          </w:divBdr>
        </w:div>
        <w:div w:id="1939173706">
          <w:marLeft w:val="0"/>
          <w:marRight w:val="0"/>
          <w:marTop w:val="0"/>
          <w:marBottom w:val="0"/>
          <w:divBdr>
            <w:top w:val="none" w:sz="0" w:space="0" w:color="auto"/>
            <w:left w:val="none" w:sz="0" w:space="0" w:color="auto"/>
            <w:bottom w:val="none" w:sz="0" w:space="0" w:color="auto"/>
            <w:right w:val="none" w:sz="0" w:space="0" w:color="auto"/>
          </w:divBdr>
        </w:div>
        <w:div w:id="996305421">
          <w:marLeft w:val="0"/>
          <w:marRight w:val="0"/>
          <w:marTop w:val="0"/>
          <w:marBottom w:val="0"/>
          <w:divBdr>
            <w:top w:val="none" w:sz="0" w:space="0" w:color="auto"/>
            <w:left w:val="none" w:sz="0" w:space="0" w:color="auto"/>
            <w:bottom w:val="none" w:sz="0" w:space="0" w:color="auto"/>
            <w:right w:val="none" w:sz="0" w:space="0" w:color="auto"/>
          </w:divBdr>
        </w:div>
        <w:div w:id="338893285">
          <w:marLeft w:val="0"/>
          <w:marRight w:val="0"/>
          <w:marTop w:val="0"/>
          <w:marBottom w:val="0"/>
          <w:divBdr>
            <w:top w:val="none" w:sz="0" w:space="0" w:color="auto"/>
            <w:left w:val="none" w:sz="0" w:space="0" w:color="auto"/>
            <w:bottom w:val="none" w:sz="0" w:space="0" w:color="auto"/>
            <w:right w:val="none" w:sz="0" w:space="0" w:color="auto"/>
          </w:divBdr>
        </w:div>
        <w:div w:id="2123987357">
          <w:marLeft w:val="0"/>
          <w:marRight w:val="0"/>
          <w:marTop w:val="0"/>
          <w:marBottom w:val="0"/>
          <w:divBdr>
            <w:top w:val="none" w:sz="0" w:space="0" w:color="auto"/>
            <w:left w:val="none" w:sz="0" w:space="0" w:color="auto"/>
            <w:bottom w:val="none" w:sz="0" w:space="0" w:color="auto"/>
            <w:right w:val="none" w:sz="0" w:space="0" w:color="auto"/>
          </w:divBdr>
        </w:div>
        <w:div w:id="904026828">
          <w:marLeft w:val="0"/>
          <w:marRight w:val="0"/>
          <w:marTop w:val="0"/>
          <w:marBottom w:val="0"/>
          <w:divBdr>
            <w:top w:val="none" w:sz="0" w:space="0" w:color="auto"/>
            <w:left w:val="none" w:sz="0" w:space="0" w:color="auto"/>
            <w:bottom w:val="none" w:sz="0" w:space="0" w:color="auto"/>
            <w:right w:val="none" w:sz="0" w:space="0" w:color="auto"/>
          </w:divBdr>
        </w:div>
        <w:div w:id="2013096516">
          <w:marLeft w:val="0"/>
          <w:marRight w:val="0"/>
          <w:marTop w:val="0"/>
          <w:marBottom w:val="0"/>
          <w:divBdr>
            <w:top w:val="none" w:sz="0" w:space="0" w:color="auto"/>
            <w:left w:val="none" w:sz="0" w:space="0" w:color="auto"/>
            <w:bottom w:val="none" w:sz="0" w:space="0" w:color="auto"/>
            <w:right w:val="none" w:sz="0" w:space="0" w:color="auto"/>
          </w:divBdr>
        </w:div>
        <w:div w:id="1728069016">
          <w:marLeft w:val="0"/>
          <w:marRight w:val="0"/>
          <w:marTop w:val="0"/>
          <w:marBottom w:val="0"/>
          <w:divBdr>
            <w:top w:val="none" w:sz="0" w:space="0" w:color="auto"/>
            <w:left w:val="none" w:sz="0" w:space="0" w:color="auto"/>
            <w:bottom w:val="none" w:sz="0" w:space="0" w:color="auto"/>
            <w:right w:val="none" w:sz="0" w:space="0" w:color="auto"/>
          </w:divBdr>
        </w:div>
      </w:divsChild>
    </w:div>
    <w:div w:id="1124079629">
      <w:bodyDiv w:val="1"/>
      <w:marLeft w:val="0"/>
      <w:marRight w:val="0"/>
      <w:marTop w:val="0"/>
      <w:marBottom w:val="0"/>
      <w:divBdr>
        <w:top w:val="none" w:sz="0" w:space="0" w:color="auto"/>
        <w:left w:val="none" w:sz="0" w:space="0" w:color="auto"/>
        <w:bottom w:val="none" w:sz="0" w:space="0" w:color="auto"/>
        <w:right w:val="none" w:sz="0" w:space="0" w:color="auto"/>
      </w:divBdr>
      <w:divsChild>
        <w:div w:id="1654137757">
          <w:marLeft w:val="0"/>
          <w:marRight w:val="0"/>
          <w:marTop w:val="0"/>
          <w:marBottom w:val="0"/>
          <w:divBdr>
            <w:top w:val="none" w:sz="0" w:space="0" w:color="auto"/>
            <w:left w:val="none" w:sz="0" w:space="0" w:color="auto"/>
            <w:bottom w:val="none" w:sz="0" w:space="0" w:color="auto"/>
            <w:right w:val="none" w:sz="0" w:space="0" w:color="auto"/>
          </w:divBdr>
        </w:div>
        <w:div w:id="1339311387">
          <w:marLeft w:val="0"/>
          <w:marRight w:val="0"/>
          <w:marTop w:val="0"/>
          <w:marBottom w:val="0"/>
          <w:divBdr>
            <w:top w:val="none" w:sz="0" w:space="0" w:color="auto"/>
            <w:left w:val="none" w:sz="0" w:space="0" w:color="auto"/>
            <w:bottom w:val="none" w:sz="0" w:space="0" w:color="auto"/>
            <w:right w:val="none" w:sz="0" w:space="0" w:color="auto"/>
          </w:divBdr>
        </w:div>
        <w:div w:id="998576934">
          <w:marLeft w:val="0"/>
          <w:marRight w:val="0"/>
          <w:marTop w:val="0"/>
          <w:marBottom w:val="0"/>
          <w:divBdr>
            <w:top w:val="none" w:sz="0" w:space="0" w:color="auto"/>
            <w:left w:val="none" w:sz="0" w:space="0" w:color="auto"/>
            <w:bottom w:val="none" w:sz="0" w:space="0" w:color="auto"/>
            <w:right w:val="none" w:sz="0" w:space="0" w:color="auto"/>
          </w:divBdr>
        </w:div>
        <w:div w:id="886262179">
          <w:marLeft w:val="0"/>
          <w:marRight w:val="0"/>
          <w:marTop w:val="0"/>
          <w:marBottom w:val="0"/>
          <w:divBdr>
            <w:top w:val="none" w:sz="0" w:space="0" w:color="auto"/>
            <w:left w:val="none" w:sz="0" w:space="0" w:color="auto"/>
            <w:bottom w:val="none" w:sz="0" w:space="0" w:color="auto"/>
            <w:right w:val="none" w:sz="0" w:space="0" w:color="auto"/>
          </w:divBdr>
        </w:div>
        <w:div w:id="360518456">
          <w:marLeft w:val="0"/>
          <w:marRight w:val="0"/>
          <w:marTop w:val="0"/>
          <w:marBottom w:val="0"/>
          <w:divBdr>
            <w:top w:val="none" w:sz="0" w:space="0" w:color="auto"/>
            <w:left w:val="none" w:sz="0" w:space="0" w:color="auto"/>
            <w:bottom w:val="none" w:sz="0" w:space="0" w:color="auto"/>
            <w:right w:val="none" w:sz="0" w:space="0" w:color="auto"/>
          </w:divBdr>
        </w:div>
        <w:div w:id="1408262242">
          <w:marLeft w:val="0"/>
          <w:marRight w:val="0"/>
          <w:marTop w:val="0"/>
          <w:marBottom w:val="0"/>
          <w:divBdr>
            <w:top w:val="none" w:sz="0" w:space="0" w:color="auto"/>
            <w:left w:val="none" w:sz="0" w:space="0" w:color="auto"/>
            <w:bottom w:val="none" w:sz="0" w:space="0" w:color="auto"/>
            <w:right w:val="none" w:sz="0" w:space="0" w:color="auto"/>
          </w:divBdr>
        </w:div>
        <w:div w:id="911548824">
          <w:marLeft w:val="0"/>
          <w:marRight w:val="0"/>
          <w:marTop w:val="0"/>
          <w:marBottom w:val="0"/>
          <w:divBdr>
            <w:top w:val="none" w:sz="0" w:space="0" w:color="auto"/>
            <w:left w:val="none" w:sz="0" w:space="0" w:color="auto"/>
            <w:bottom w:val="none" w:sz="0" w:space="0" w:color="auto"/>
            <w:right w:val="none" w:sz="0" w:space="0" w:color="auto"/>
          </w:divBdr>
        </w:div>
        <w:div w:id="1467964511">
          <w:marLeft w:val="0"/>
          <w:marRight w:val="0"/>
          <w:marTop w:val="0"/>
          <w:marBottom w:val="0"/>
          <w:divBdr>
            <w:top w:val="none" w:sz="0" w:space="0" w:color="auto"/>
            <w:left w:val="none" w:sz="0" w:space="0" w:color="auto"/>
            <w:bottom w:val="none" w:sz="0" w:space="0" w:color="auto"/>
            <w:right w:val="none" w:sz="0" w:space="0" w:color="auto"/>
          </w:divBdr>
        </w:div>
        <w:div w:id="1526365972">
          <w:marLeft w:val="0"/>
          <w:marRight w:val="0"/>
          <w:marTop w:val="0"/>
          <w:marBottom w:val="0"/>
          <w:divBdr>
            <w:top w:val="none" w:sz="0" w:space="0" w:color="auto"/>
            <w:left w:val="none" w:sz="0" w:space="0" w:color="auto"/>
            <w:bottom w:val="none" w:sz="0" w:space="0" w:color="auto"/>
            <w:right w:val="none" w:sz="0" w:space="0" w:color="auto"/>
          </w:divBdr>
        </w:div>
        <w:div w:id="1484390646">
          <w:marLeft w:val="0"/>
          <w:marRight w:val="0"/>
          <w:marTop w:val="0"/>
          <w:marBottom w:val="0"/>
          <w:divBdr>
            <w:top w:val="none" w:sz="0" w:space="0" w:color="auto"/>
            <w:left w:val="none" w:sz="0" w:space="0" w:color="auto"/>
            <w:bottom w:val="none" w:sz="0" w:space="0" w:color="auto"/>
            <w:right w:val="none" w:sz="0" w:space="0" w:color="auto"/>
          </w:divBdr>
        </w:div>
        <w:div w:id="1506624719">
          <w:marLeft w:val="0"/>
          <w:marRight w:val="0"/>
          <w:marTop w:val="0"/>
          <w:marBottom w:val="0"/>
          <w:divBdr>
            <w:top w:val="none" w:sz="0" w:space="0" w:color="auto"/>
            <w:left w:val="none" w:sz="0" w:space="0" w:color="auto"/>
            <w:bottom w:val="none" w:sz="0" w:space="0" w:color="auto"/>
            <w:right w:val="none" w:sz="0" w:space="0" w:color="auto"/>
          </w:divBdr>
        </w:div>
        <w:div w:id="1617173255">
          <w:marLeft w:val="0"/>
          <w:marRight w:val="0"/>
          <w:marTop w:val="0"/>
          <w:marBottom w:val="0"/>
          <w:divBdr>
            <w:top w:val="none" w:sz="0" w:space="0" w:color="auto"/>
            <w:left w:val="none" w:sz="0" w:space="0" w:color="auto"/>
            <w:bottom w:val="none" w:sz="0" w:space="0" w:color="auto"/>
            <w:right w:val="none" w:sz="0" w:space="0" w:color="auto"/>
          </w:divBdr>
        </w:div>
        <w:div w:id="1903131579">
          <w:marLeft w:val="0"/>
          <w:marRight w:val="0"/>
          <w:marTop w:val="0"/>
          <w:marBottom w:val="0"/>
          <w:divBdr>
            <w:top w:val="none" w:sz="0" w:space="0" w:color="auto"/>
            <w:left w:val="none" w:sz="0" w:space="0" w:color="auto"/>
            <w:bottom w:val="none" w:sz="0" w:space="0" w:color="auto"/>
            <w:right w:val="none" w:sz="0" w:space="0" w:color="auto"/>
          </w:divBdr>
        </w:div>
        <w:div w:id="1619951049">
          <w:marLeft w:val="0"/>
          <w:marRight w:val="0"/>
          <w:marTop w:val="0"/>
          <w:marBottom w:val="0"/>
          <w:divBdr>
            <w:top w:val="none" w:sz="0" w:space="0" w:color="auto"/>
            <w:left w:val="none" w:sz="0" w:space="0" w:color="auto"/>
            <w:bottom w:val="none" w:sz="0" w:space="0" w:color="auto"/>
            <w:right w:val="none" w:sz="0" w:space="0" w:color="auto"/>
          </w:divBdr>
        </w:div>
        <w:div w:id="1090201608">
          <w:marLeft w:val="0"/>
          <w:marRight w:val="0"/>
          <w:marTop w:val="0"/>
          <w:marBottom w:val="0"/>
          <w:divBdr>
            <w:top w:val="none" w:sz="0" w:space="0" w:color="auto"/>
            <w:left w:val="none" w:sz="0" w:space="0" w:color="auto"/>
            <w:bottom w:val="none" w:sz="0" w:space="0" w:color="auto"/>
            <w:right w:val="none" w:sz="0" w:space="0" w:color="auto"/>
          </w:divBdr>
        </w:div>
        <w:div w:id="1533348279">
          <w:marLeft w:val="0"/>
          <w:marRight w:val="0"/>
          <w:marTop w:val="0"/>
          <w:marBottom w:val="0"/>
          <w:divBdr>
            <w:top w:val="none" w:sz="0" w:space="0" w:color="auto"/>
            <w:left w:val="none" w:sz="0" w:space="0" w:color="auto"/>
            <w:bottom w:val="none" w:sz="0" w:space="0" w:color="auto"/>
            <w:right w:val="none" w:sz="0" w:space="0" w:color="auto"/>
          </w:divBdr>
        </w:div>
        <w:div w:id="903757879">
          <w:marLeft w:val="0"/>
          <w:marRight w:val="0"/>
          <w:marTop w:val="0"/>
          <w:marBottom w:val="0"/>
          <w:divBdr>
            <w:top w:val="none" w:sz="0" w:space="0" w:color="auto"/>
            <w:left w:val="none" w:sz="0" w:space="0" w:color="auto"/>
            <w:bottom w:val="none" w:sz="0" w:space="0" w:color="auto"/>
            <w:right w:val="none" w:sz="0" w:space="0" w:color="auto"/>
          </w:divBdr>
        </w:div>
        <w:div w:id="609628156">
          <w:marLeft w:val="0"/>
          <w:marRight w:val="0"/>
          <w:marTop w:val="0"/>
          <w:marBottom w:val="0"/>
          <w:divBdr>
            <w:top w:val="none" w:sz="0" w:space="0" w:color="auto"/>
            <w:left w:val="none" w:sz="0" w:space="0" w:color="auto"/>
            <w:bottom w:val="none" w:sz="0" w:space="0" w:color="auto"/>
            <w:right w:val="none" w:sz="0" w:space="0" w:color="auto"/>
          </w:divBdr>
        </w:div>
        <w:div w:id="1823156433">
          <w:marLeft w:val="0"/>
          <w:marRight w:val="0"/>
          <w:marTop w:val="0"/>
          <w:marBottom w:val="0"/>
          <w:divBdr>
            <w:top w:val="none" w:sz="0" w:space="0" w:color="auto"/>
            <w:left w:val="none" w:sz="0" w:space="0" w:color="auto"/>
            <w:bottom w:val="none" w:sz="0" w:space="0" w:color="auto"/>
            <w:right w:val="none" w:sz="0" w:space="0" w:color="auto"/>
          </w:divBdr>
        </w:div>
        <w:div w:id="1937014273">
          <w:marLeft w:val="0"/>
          <w:marRight w:val="0"/>
          <w:marTop w:val="0"/>
          <w:marBottom w:val="0"/>
          <w:divBdr>
            <w:top w:val="none" w:sz="0" w:space="0" w:color="auto"/>
            <w:left w:val="none" w:sz="0" w:space="0" w:color="auto"/>
            <w:bottom w:val="none" w:sz="0" w:space="0" w:color="auto"/>
            <w:right w:val="none" w:sz="0" w:space="0" w:color="auto"/>
          </w:divBdr>
        </w:div>
        <w:div w:id="220942136">
          <w:marLeft w:val="0"/>
          <w:marRight w:val="0"/>
          <w:marTop w:val="0"/>
          <w:marBottom w:val="0"/>
          <w:divBdr>
            <w:top w:val="none" w:sz="0" w:space="0" w:color="auto"/>
            <w:left w:val="none" w:sz="0" w:space="0" w:color="auto"/>
            <w:bottom w:val="none" w:sz="0" w:space="0" w:color="auto"/>
            <w:right w:val="none" w:sz="0" w:space="0" w:color="auto"/>
          </w:divBdr>
        </w:div>
        <w:div w:id="1033726166">
          <w:marLeft w:val="0"/>
          <w:marRight w:val="0"/>
          <w:marTop w:val="0"/>
          <w:marBottom w:val="0"/>
          <w:divBdr>
            <w:top w:val="none" w:sz="0" w:space="0" w:color="auto"/>
            <w:left w:val="none" w:sz="0" w:space="0" w:color="auto"/>
            <w:bottom w:val="none" w:sz="0" w:space="0" w:color="auto"/>
            <w:right w:val="none" w:sz="0" w:space="0" w:color="auto"/>
          </w:divBdr>
        </w:div>
        <w:div w:id="1856963207">
          <w:marLeft w:val="0"/>
          <w:marRight w:val="0"/>
          <w:marTop w:val="0"/>
          <w:marBottom w:val="0"/>
          <w:divBdr>
            <w:top w:val="none" w:sz="0" w:space="0" w:color="auto"/>
            <w:left w:val="none" w:sz="0" w:space="0" w:color="auto"/>
            <w:bottom w:val="none" w:sz="0" w:space="0" w:color="auto"/>
            <w:right w:val="none" w:sz="0" w:space="0" w:color="auto"/>
          </w:divBdr>
        </w:div>
        <w:div w:id="224607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2020-04-26T11:09:00Z</dcterms:created>
  <dcterms:modified xsi:type="dcterms:W3CDTF">2020-04-26T11:09:00Z</dcterms:modified>
</cp:coreProperties>
</file>