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E79" w:rsidRPr="00677E79" w:rsidRDefault="00677E79" w:rsidP="00677E79">
      <w:pPr>
        <w:jc w:val="center"/>
        <w:rPr>
          <w:sz w:val="32"/>
          <w:szCs w:val="32"/>
        </w:rPr>
      </w:pPr>
      <w:bookmarkStart w:id="0" w:name="Anchor1"/>
      <w:bookmarkEnd w:id="0"/>
      <w:r w:rsidRPr="00677E79">
        <w:rPr>
          <w:sz w:val="32"/>
          <w:szCs w:val="32"/>
          <w:rtl/>
        </w:rPr>
        <w:t>الطعن رقم 395/20</w:t>
      </w:r>
      <w:bookmarkStart w:id="1" w:name="_GoBack"/>
      <w:bookmarkEnd w:id="1"/>
      <w:r w:rsidRPr="00677E79">
        <w:rPr>
          <w:sz w:val="32"/>
          <w:szCs w:val="32"/>
          <w:rtl/>
        </w:rPr>
        <w:t>12</w:t>
      </w:r>
    </w:p>
    <w:p w:rsidR="00677E79" w:rsidRPr="00677E79" w:rsidRDefault="00677E79" w:rsidP="00677E79">
      <w:pPr>
        <w:rPr>
          <w:sz w:val="32"/>
          <w:szCs w:val="32"/>
        </w:rPr>
      </w:pPr>
      <w:bookmarkStart w:id="2" w:name="Anchor6"/>
      <w:bookmarkEnd w:id="2"/>
      <w:r w:rsidRPr="00677E79">
        <w:rPr>
          <w:sz w:val="32"/>
          <w:szCs w:val="32"/>
          <w:rtl/>
        </w:rPr>
        <w:t>هيئة المحكمة</w:t>
      </w:r>
      <w:r w:rsidRPr="00677E79">
        <w:rPr>
          <w:sz w:val="32"/>
          <w:szCs w:val="32"/>
        </w:rPr>
        <w:t xml:space="preserve">: </w:t>
      </w:r>
      <w:r w:rsidRPr="00677E79">
        <w:rPr>
          <w:sz w:val="32"/>
          <w:szCs w:val="32"/>
          <w:rtl/>
        </w:rPr>
        <w:t>برئاسة السيد المستشار أحمد مساعد العجيل وكيل المحكمة وعضوية السادة المستشارين صالح خليفة المريشد وعبدالرحمن هيكل وعادل الحناوي وحسين الصعيدي</w:t>
      </w:r>
    </w:p>
    <w:bookmarkStart w:id="3" w:name="Anchor23"/>
    <w:bookmarkEnd w:id="3"/>
    <w:p w:rsidR="00677E79" w:rsidRPr="00677E79" w:rsidRDefault="00677E79" w:rsidP="00677E79">
      <w:pPr>
        <w:rPr>
          <w:sz w:val="32"/>
          <w:szCs w:val="32"/>
        </w:rPr>
      </w:pPr>
      <w:r w:rsidRPr="00677E79">
        <w:rPr>
          <w:sz w:val="32"/>
          <w:szCs w:val="32"/>
        </w:rPr>
        <w:fldChar w:fldCharType="begin"/>
      </w:r>
      <w:r w:rsidRPr="00677E79">
        <w:rPr>
          <w:sz w:val="32"/>
          <w:szCs w:val="32"/>
        </w:rPr>
        <w:instrText xml:space="preserve"> HYPERLINK "http://www.law.gov.kw/KWT_CC-Ar/00_2014/00_%D8%A7%D9%84%D8%AF%D8%A7%D8%A6%D8%B1%D8%A9%20%D8%A7%D9%84%D8%AC%D8%B2%D8%A7%D8%A6%D9%8A%D8%A9/KWT-CC-Ar_2014-05-18_00395_Taan.html" \l "TM2014_395_1" </w:instrText>
      </w:r>
      <w:r w:rsidRPr="00677E79">
        <w:rPr>
          <w:sz w:val="32"/>
          <w:szCs w:val="32"/>
        </w:rPr>
        <w:fldChar w:fldCharType="separate"/>
      </w:r>
      <w:r w:rsidRPr="00677E79">
        <w:rPr>
          <w:rStyle w:val="Hyperlink"/>
          <w:sz w:val="32"/>
          <w:szCs w:val="32"/>
        </w:rPr>
        <w:t xml:space="preserve">1- </w:t>
      </w:r>
      <w:r w:rsidRPr="00677E79">
        <w:rPr>
          <w:rStyle w:val="Hyperlink"/>
          <w:sz w:val="32"/>
          <w:szCs w:val="32"/>
          <w:rtl/>
        </w:rPr>
        <w:t>ان الطعن بالتمييز في المواد الجزائية غير جائز إلا في الأحكام الصادرة من محكمة الإستئناف في مواد الجنايات باستثناء حالة إرتباط الجنحة بجناية إرتباطاً لا يقبل التجزئة</w:t>
      </w:r>
      <w:r w:rsidRPr="00677E79">
        <w:rPr>
          <w:rStyle w:val="Hyperlink"/>
          <w:sz w:val="32"/>
          <w:szCs w:val="32"/>
        </w:rPr>
        <w:t>.</w:t>
      </w:r>
      <w:r w:rsidRPr="00677E79">
        <w:rPr>
          <w:sz w:val="32"/>
          <w:szCs w:val="32"/>
        </w:rPr>
        <w:fldChar w:fldCharType="end"/>
      </w:r>
    </w:p>
    <w:bookmarkStart w:id="4" w:name="Anchor43"/>
    <w:bookmarkEnd w:id="4"/>
    <w:p w:rsidR="00677E79" w:rsidRPr="00677E79" w:rsidRDefault="00677E79" w:rsidP="00677E79">
      <w:pPr>
        <w:rPr>
          <w:sz w:val="32"/>
          <w:szCs w:val="32"/>
        </w:rPr>
      </w:pPr>
      <w:r w:rsidRPr="00677E79">
        <w:rPr>
          <w:sz w:val="32"/>
          <w:szCs w:val="32"/>
        </w:rPr>
        <w:fldChar w:fldCharType="begin"/>
      </w:r>
      <w:r w:rsidRPr="00677E79">
        <w:rPr>
          <w:sz w:val="32"/>
          <w:szCs w:val="32"/>
        </w:rPr>
        <w:instrText xml:space="preserve"> HYPERLINK "http://www.law.gov.kw/KWT_CC-Ar/00_2014/00_%D8%A7%D9%84%D8%AF%D8%A7%D8%A6%D8%B1%D8%A9%20%D8%A7%D9%84%D8%AC%D8%B2%D8%A7%D8%A6%D9%8A%D8%A9/KWT-CC-Ar_2014-05-18_00395_Taan.html" \l "TM2014_395_2" </w:instrText>
      </w:r>
      <w:r w:rsidRPr="00677E79">
        <w:rPr>
          <w:sz w:val="32"/>
          <w:szCs w:val="32"/>
        </w:rPr>
        <w:fldChar w:fldCharType="separate"/>
      </w:r>
      <w:r w:rsidRPr="00677E79">
        <w:rPr>
          <w:rStyle w:val="Hyperlink"/>
          <w:sz w:val="32"/>
          <w:szCs w:val="32"/>
        </w:rPr>
        <w:t xml:space="preserve">2- </w:t>
      </w:r>
      <w:r w:rsidRPr="00677E79">
        <w:rPr>
          <w:rStyle w:val="Hyperlink"/>
          <w:sz w:val="32"/>
          <w:szCs w:val="32"/>
          <w:rtl/>
        </w:rPr>
        <w:t>إن جنحة قيادة السيارة دون رخصة سوق لا ترتبط بجناية إحراز مادة مخدرة بقصد التعاطي فإن الطعن بالتمييز في الحكم الصادر في هذه الجنحة غير جائز</w:t>
      </w:r>
      <w:r w:rsidRPr="00677E79">
        <w:rPr>
          <w:rStyle w:val="Hyperlink"/>
          <w:sz w:val="32"/>
          <w:szCs w:val="32"/>
        </w:rPr>
        <w:t>.</w:t>
      </w:r>
      <w:r w:rsidRPr="00677E79">
        <w:rPr>
          <w:sz w:val="32"/>
          <w:szCs w:val="32"/>
        </w:rPr>
        <w:fldChar w:fldCharType="end"/>
      </w:r>
    </w:p>
    <w:bookmarkStart w:id="5" w:name="Anchor57"/>
    <w:bookmarkEnd w:id="5"/>
    <w:p w:rsidR="00677E79" w:rsidRPr="00677E79" w:rsidRDefault="00677E79" w:rsidP="00677E79">
      <w:pPr>
        <w:rPr>
          <w:sz w:val="32"/>
          <w:szCs w:val="32"/>
        </w:rPr>
      </w:pPr>
      <w:r w:rsidRPr="00677E79">
        <w:rPr>
          <w:sz w:val="32"/>
          <w:szCs w:val="32"/>
        </w:rPr>
        <w:fldChar w:fldCharType="begin"/>
      </w:r>
      <w:r w:rsidRPr="00677E79">
        <w:rPr>
          <w:sz w:val="32"/>
          <w:szCs w:val="32"/>
        </w:rPr>
        <w:instrText xml:space="preserve"> HYPERLINK "http://www.law.gov.kw/KWT_CC-Ar/00_2014/00_%D8%A7%D9%84%D8%AF%D8%A7%D8%A6%D8%B1%D8%A9%20%D8%A7%D9%84%D8%AC%D8%B2%D8%A7%D8%A6%D9%8A%D8%A9/KWT-CC-Ar_2014-05-18_00395_Taan.html" \l "TM2014_395_3" </w:instrText>
      </w:r>
      <w:r w:rsidRPr="00677E79">
        <w:rPr>
          <w:sz w:val="32"/>
          <w:szCs w:val="32"/>
        </w:rPr>
        <w:fldChar w:fldCharType="separate"/>
      </w:r>
      <w:r w:rsidRPr="00677E79">
        <w:rPr>
          <w:rStyle w:val="Hyperlink"/>
          <w:sz w:val="32"/>
          <w:szCs w:val="32"/>
        </w:rPr>
        <w:t xml:space="preserve">3- </w:t>
      </w:r>
      <w:r w:rsidRPr="00677E79">
        <w:rPr>
          <w:rStyle w:val="Hyperlink"/>
          <w:sz w:val="32"/>
          <w:szCs w:val="32"/>
          <w:rtl/>
        </w:rPr>
        <w:t>إن تقديم أسباب الطعن بالتمييز في الميعاد المقرر قانوناً هو أحد شروط قبول الطعن</w:t>
      </w:r>
      <w:r w:rsidRPr="00677E79">
        <w:rPr>
          <w:rStyle w:val="Hyperlink"/>
          <w:sz w:val="32"/>
          <w:szCs w:val="32"/>
        </w:rPr>
        <w:t>.</w:t>
      </w:r>
      <w:r w:rsidRPr="00677E79">
        <w:rPr>
          <w:sz w:val="32"/>
          <w:szCs w:val="32"/>
        </w:rPr>
        <w:fldChar w:fldCharType="end"/>
      </w:r>
    </w:p>
    <w:bookmarkStart w:id="6" w:name="Anchor67"/>
    <w:bookmarkEnd w:id="6"/>
    <w:p w:rsidR="00677E79" w:rsidRPr="00677E79" w:rsidRDefault="00677E79" w:rsidP="00677E79">
      <w:pPr>
        <w:rPr>
          <w:sz w:val="32"/>
          <w:szCs w:val="32"/>
        </w:rPr>
      </w:pPr>
      <w:r w:rsidRPr="00677E79">
        <w:rPr>
          <w:sz w:val="32"/>
          <w:szCs w:val="32"/>
        </w:rPr>
        <w:fldChar w:fldCharType="begin"/>
      </w:r>
      <w:r w:rsidRPr="00677E79">
        <w:rPr>
          <w:sz w:val="32"/>
          <w:szCs w:val="32"/>
        </w:rPr>
        <w:instrText xml:space="preserve"> HYPERLINK "http://www.law.gov.kw/KWT_CC-Ar/00_2014/00_%D8%A7%D9%84%D8%AF%D8%A7%D8%A6%D8%B1%D8%A9%20%D8%A7%D9%84%D8%AC%D8%B2%D8%A7%D8%A6%D9%8A%D8%A9/KWT-CC-Ar_2014-05-18_00395_Taan.html" \l "TM2014_395_4" </w:instrText>
      </w:r>
      <w:r w:rsidRPr="00677E79">
        <w:rPr>
          <w:sz w:val="32"/>
          <w:szCs w:val="32"/>
        </w:rPr>
        <w:fldChar w:fldCharType="separate"/>
      </w:r>
      <w:r w:rsidRPr="00677E79">
        <w:rPr>
          <w:rStyle w:val="Hyperlink"/>
          <w:sz w:val="32"/>
          <w:szCs w:val="32"/>
        </w:rPr>
        <w:t xml:space="preserve">4- </w:t>
      </w:r>
      <w:r w:rsidRPr="00677E79">
        <w:rPr>
          <w:rStyle w:val="Hyperlink"/>
          <w:sz w:val="32"/>
          <w:szCs w:val="32"/>
          <w:rtl/>
        </w:rPr>
        <w:t>إن التقرير بالطعن وتقديم أسبابه يشكلان وحدة إجرائية لا يقوم فيها أحدهما محل الآخر</w:t>
      </w:r>
      <w:r w:rsidRPr="00677E79">
        <w:rPr>
          <w:rStyle w:val="Hyperlink"/>
          <w:sz w:val="32"/>
          <w:szCs w:val="32"/>
        </w:rPr>
        <w:t>.</w:t>
      </w:r>
      <w:r w:rsidRPr="00677E79">
        <w:rPr>
          <w:sz w:val="32"/>
          <w:szCs w:val="32"/>
        </w:rPr>
        <w:fldChar w:fldCharType="end"/>
      </w:r>
    </w:p>
    <w:bookmarkStart w:id="7" w:name="Anchor78"/>
    <w:bookmarkEnd w:id="7"/>
    <w:p w:rsidR="00677E79" w:rsidRPr="00677E79" w:rsidRDefault="00677E79" w:rsidP="00677E79">
      <w:pPr>
        <w:rPr>
          <w:sz w:val="32"/>
          <w:szCs w:val="32"/>
        </w:rPr>
      </w:pPr>
      <w:r w:rsidRPr="00677E79">
        <w:rPr>
          <w:sz w:val="32"/>
          <w:szCs w:val="32"/>
        </w:rPr>
        <w:fldChar w:fldCharType="begin"/>
      </w:r>
      <w:r w:rsidRPr="00677E79">
        <w:rPr>
          <w:sz w:val="32"/>
          <w:szCs w:val="32"/>
        </w:rPr>
        <w:instrText xml:space="preserve"> HYPERLINK "http://www.law.gov.kw/KWT_CC-Ar/00_2014/00_%D8%A7%D9%84%D8%AF%D8%A7%D8%A6%D8%B1%D8%A9%20%D8%A7%D9%84%D8%AC%D8%B2%D8%A7%D8%A6%D9%8A%D8%A9/KWT-CC-Ar_2014-05-18_00395_Taan.html" \l "TM2014_395_5" </w:instrText>
      </w:r>
      <w:r w:rsidRPr="00677E79">
        <w:rPr>
          <w:sz w:val="32"/>
          <w:szCs w:val="32"/>
        </w:rPr>
        <w:fldChar w:fldCharType="separate"/>
      </w:r>
      <w:r w:rsidRPr="00677E79">
        <w:rPr>
          <w:rStyle w:val="Hyperlink"/>
          <w:sz w:val="32"/>
          <w:szCs w:val="32"/>
        </w:rPr>
        <w:t xml:space="preserve">5- </w:t>
      </w:r>
      <w:r w:rsidRPr="00677E79">
        <w:rPr>
          <w:rStyle w:val="Hyperlink"/>
          <w:sz w:val="32"/>
          <w:szCs w:val="32"/>
          <w:rtl/>
        </w:rPr>
        <w:t>القضاء بعدم قبول الطعن بالتمييز شكلاً لعدم تقديم أسبابه في الميعاد القانوني</w:t>
      </w:r>
      <w:r w:rsidRPr="00677E79">
        <w:rPr>
          <w:rStyle w:val="Hyperlink"/>
          <w:sz w:val="32"/>
          <w:szCs w:val="32"/>
        </w:rPr>
        <w:t>.</w:t>
      </w:r>
      <w:r w:rsidRPr="00677E79">
        <w:rPr>
          <w:sz w:val="32"/>
          <w:szCs w:val="32"/>
        </w:rPr>
        <w:fldChar w:fldCharType="end"/>
      </w:r>
      <w:r w:rsidRPr="00677E79">
        <w:rPr>
          <w:sz w:val="32"/>
          <w:szCs w:val="32"/>
        </w:rPr>
        <w:br/>
      </w:r>
      <w:r w:rsidRPr="00677E79">
        <w:rPr>
          <w:sz w:val="32"/>
          <w:szCs w:val="32"/>
        </w:rPr>
        <w:br/>
      </w:r>
      <w:r w:rsidRPr="00677E79">
        <w:rPr>
          <w:sz w:val="32"/>
          <w:szCs w:val="32"/>
          <w:u w:val="single"/>
          <w:rtl/>
        </w:rPr>
        <w:t>ملاحظة</w:t>
      </w:r>
      <w:r w:rsidRPr="00677E79">
        <w:rPr>
          <w:sz w:val="32"/>
          <w:szCs w:val="32"/>
          <w:u w:val="single"/>
        </w:rPr>
        <w:t xml:space="preserve"> :</w:t>
      </w:r>
      <w:r w:rsidRPr="00677E79">
        <w:rPr>
          <w:sz w:val="32"/>
          <w:szCs w:val="32"/>
        </w:rPr>
        <w:br/>
      </w:r>
      <w:r w:rsidRPr="00677E7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77E79" w:rsidRPr="00677E79" w:rsidRDefault="00677E79" w:rsidP="00677E79">
      <w:pPr>
        <w:rPr>
          <w:sz w:val="32"/>
          <w:szCs w:val="32"/>
        </w:rPr>
      </w:pPr>
      <w:bookmarkStart w:id="8" w:name="Anchor87"/>
      <w:bookmarkEnd w:id="8"/>
      <w:r w:rsidRPr="00677E79">
        <w:rPr>
          <w:b/>
          <w:bCs/>
          <w:sz w:val="32"/>
          <w:szCs w:val="32"/>
          <w:rtl/>
        </w:rPr>
        <w:t>المحكمة</w:t>
      </w:r>
    </w:p>
    <w:p w:rsidR="00677E79" w:rsidRPr="00677E79" w:rsidRDefault="00677E79" w:rsidP="00677E79">
      <w:pPr>
        <w:rPr>
          <w:sz w:val="32"/>
          <w:szCs w:val="32"/>
        </w:rPr>
      </w:pPr>
      <w:bookmarkStart w:id="9" w:name="Anchor88"/>
      <w:bookmarkEnd w:id="9"/>
      <w:r w:rsidRPr="00677E79">
        <w:rPr>
          <w:sz w:val="32"/>
          <w:szCs w:val="32"/>
          <w:rtl/>
        </w:rPr>
        <w:t>بعد الاطلاع على الأوراق وسماع المرافعة، والمداولة</w:t>
      </w:r>
      <w:r w:rsidRPr="00677E79">
        <w:rPr>
          <w:sz w:val="32"/>
          <w:szCs w:val="32"/>
        </w:rPr>
        <w:t>.</w:t>
      </w:r>
    </w:p>
    <w:p w:rsidR="00677E79" w:rsidRPr="00677E79" w:rsidRDefault="00677E79" w:rsidP="00677E79">
      <w:pPr>
        <w:rPr>
          <w:sz w:val="32"/>
          <w:szCs w:val="32"/>
        </w:rPr>
      </w:pPr>
      <w:bookmarkStart w:id="10" w:name="Anchor94"/>
      <w:bookmarkStart w:id="11" w:name="TM2014_395_1"/>
      <w:bookmarkEnd w:id="10"/>
      <w:bookmarkEnd w:id="11"/>
      <w:r w:rsidRPr="00677E79">
        <w:rPr>
          <w:b/>
          <w:bCs/>
          <w:sz w:val="32"/>
          <w:szCs w:val="32"/>
          <w:rtl/>
        </w:rPr>
        <w:t>من حيث أنه إذ كانت المادة الثامنة من القانون رقم 40 لسنة 1972 بشأن حالات الطعن بالتمييز وإجراءاته لا تجيز الطعن بالتمييز في المواد الجزائية أمام محكمة التمييز إلا في الأحكام الصادرة من محكمة الإستئناف في مواد الجنايات دون تلك التي تصدر في مواد الجنح إلا أن تكون الجنحة مرتبطة بجناية إرتباطاً لا يقبل التجزئة،</w:t>
      </w:r>
    </w:p>
    <w:p w:rsidR="00677E79" w:rsidRPr="00677E79" w:rsidRDefault="00677E79" w:rsidP="00677E79">
      <w:pPr>
        <w:rPr>
          <w:sz w:val="32"/>
          <w:szCs w:val="32"/>
        </w:rPr>
      </w:pPr>
      <w:bookmarkStart w:id="12" w:name="Anchor126"/>
      <w:bookmarkStart w:id="13" w:name="TM2014_395_2"/>
      <w:bookmarkEnd w:id="12"/>
      <w:bookmarkEnd w:id="13"/>
      <w:r w:rsidRPr="00677E79">
        <w:rPr>
          <w:b/>
          <w:bCs/>
          <w:sz w:val="32"/>
          <w:szCs w:val="32"/>
          <w:rtl/>
        </w:rPr>
        <w:t xml:space="preserve">وكانت التهمة الخامسة المسندة إلى الطاعن وهى قيادة سيارة دون حمل رخصة سوق من مواد الجنح ولا إرتباط بينها وبين جناية إحراز مادة مخدرة بقصد </w:t>
      </w:r>
      <w:r w:rsidRPr="00677E79">
        <w:rPr>
          <w:b/>
          <w:bCs/>
          <w:sz w:val="32"/>
          <w:szCs w:val="32"/>
          <w:rtl/>
        </w:rPr>
        <w:lastRenderedPageBreak/>
        <w:t>التعاطي وجنح قيادة مركبة آلية تحت تأثير المشروبات المسكرة والحشيش المخدر وبرعونة وتفريط وإهمال وبحالة تعرض حياة الأشخاص والأموال للخطر والأضرار بممتلكات المرافق العامة نتيجة مخالفة أحكام قانون المرور المرتبطة بتلك الجناية، وقد أفرد لها الحكم عقوبة مستقلة- فإن الطعن بالتمييز المرفوع من الطاعن على قضاء الحكم في شأنها يكون غير جائز</w:t>
      </w:r>
      <w:r w:rsidRPr="00677E79">
        <w:rPr>
          <w:b/>
          <w:bCs/>
          <w:sz w:val="32"/>
          <w:szCs w:val="32"/>
        </w:rPr>
        <w:t>.</w:t>
      </w:r>
    </w:p>
    <w:p w:rsidR="00677E79" w:rsidRPr="00677E79" w:rsidRDefault="00677E79" w:rsidP="00677E79">
      <w:pPr>
        <w:rPr>
          <w:sz w:val="32"/>
          <w:szCs w:val="32"/>
        </w:rPr>
      </w:pPr>
      <w:bookmarkStart w:id="14" w:name="Anchor173"/>
      <w:bookmarkStart w:id="15" w:name="TM2014_395_3"/>
      <w:bookmarkEnd w:id="14"/>
      <w:bookmarkEnd w:id="15"/>
      <w:r w:rsidRPr="00677E79">
        <w:rPr>
          <w:b/>
          <w:bCs/>
          <w:sz w:val="32"/>
          <w:szCs w:val="32"/>
          <w:rtl/>
        </w:rPr>
        <w:t>وحيث أنه من المقرر أن التقرير بالتمييز هو مناط إتصال المحكمة به وأن تقديم الأسباب التي بني عليها الطعن في الميعاد الذي حدده القانون هو شرط لقبوله،</w:t>
      </w:r>
    </w:p>
    <w:p w:rsidR="00677E79" w:rsidRPr="00677E79" w:rsidRDefault="00677E79" w:rsidP="00677E79">
      <w:pPr>
        <w:rPr>
          <w:sz w:val="32"/>
          <w:szCs w:val="32"/>
        </w:rPr>
      </w:pPr>
      <w:bookmarkStart w:id="16" w:name="Anchor187"/>
      <w:bookmarkStart w:id="17" w:name="TM2014_395_4"/>
      <w:bookmarkEnd w:id="16"/>
      <w:bookmarkEnd w:id="17"/>
      <w:r w:rsidRPr="00677E79">
        <w:rPr>
          <w:b/>
          <w:bCs/>
          <w:sz w:val="32"/>
          <w:szCs w:val="32"/>
          <w:rtl/>
        </w:rPr>
        <w:t>وأن التقرير بالطعن وتقديم أسبابه يكونان معاً وحدة إجرائية لا يقوم فيها أحدهما مقام الأخر ولا يغني عنه،</w:t>
      </w:r>
    </w:p>
    <w:p w:rsidR="00677E79" w:rsidRPr="00677E79" w:rsidRDefault="00677E79" w:rsidP="00677E79">
      <w:pPr>
        <w:rPr>
          <w:sz w:val="32"/>
          <w:szCs w:val="32"/>
        </w:rPr>
      </w:pPr>
      <w:bookmarkStart w:id="18" w:name="Anchor198"/>
      <w:bookmarkStart w:id="19" w:name="TM2014_395_5"/>
      <w:bookmarkEnd w:id="18"/>
      <w:bookmarkEnd w:id="19"/>
      <w:r w:rsidRPr="00677E79">
        <w:rPr>
          <w:b/>
          <w:bCs/>
          <w:sz w:val="32"/>
          <w:szCs w:val="32"/>
          <w:rtl/>
        </w:rPr>
        <w:t xml:space="preserve">وكان الطاعن وإن قرر بالطعن بالتمييز في الحكم المطعون فيه لدى إدارة الكتاب بتاريخ 2012/6/18 إلا أنه لم يقدم الأسباب التي بني عليها الطعن لم تودع إلا بتاريخ 2012/8/16 بعد فوات الميعاد المنصوص عليه في المادتين </w:t>
      </w:r>
      <w:r w:rsidRPr="00677E79">
        <w:rPr>
          <w:b/>
          <w:bCs/>
          <w:sz w:val="32"/>
          <w:szCs w:val="32"/>
        </w:rPr>
        <w:t xml:space="preserve">9-10 </w:t>
      </w:r>
      <w:r w:rsidRPr="00677E79">
        <w:rPr>
          <w:b/>
          <w:bCs/>
          <w:sz w:val="32"/>
          <w:szCs w:val="32"/>
          <w:rtl/>
        </w:rPr>
        <w:t>من القانون رقم 40 لسنة 1972 بشأن حالات الطعن بالتمييز وإجراءاته</w:t>
      </w:r>
      <w:r w:rsidRPr="00677E79">
        <w:rPr>
          <w:b/>
          <w:bCs/>
          <w:sz w:val="32"/>
          <w:szCs w:val="32"/>
        </w:rPr>
        <w:t xml:space="preserve">- </w:t>
      </w:r>
      <w:r w:rsidRPr="00677E79">
        <w:rPr>
          <w:b/>
          <w:bCs/>
          <w:sz w:val="32"/>
          <w:szCs w:val="32"/>
          <w:rtl/>
        </w:rPr>
        <w:t xml:space="preserve">وهو ثلاثين يوماً من تاريخ النطق بالحكم </w:t>
      </w:r>
      <w:r w:rsidRPr="00677E79">
        <w:rPr>
          <w:b/>
          <w:bCs/>
          <w:sz w:val="32"/>
          <w:szCs w:val="32"/>
        </w:rPr>
        <w:t xml:space="preserve">– </w:t>
      </w:r>
      <w:r w:rsidRPr="00677E79">
        <w:rPr>
          <w:b/>
          <w:bCs/>
          <w:sz w:val="32"/>
          <w:szCs w:val="32"/>
          <w:rtl/>
        </w:rPr>
        <w:t>فإنه يتعين القضاء بعدم قبول الطعن شكلاً لعدم تقديم أسباب له في الميعاد الذي رسمه القانون وذلك بالنسبة لباقي التهم مع مصادرة الكفالة</w:t>
      </w:r>
      <w:r w:rsidRPr="00677E79">
        <w:rPr>
          <w:b/>
          <w:bCs/>
          <w:sz w:val="32"/>
          <w:szCs w:val="32"/>
        </w:rPr>
        <w:t>.</w:t>
      </w:r>
    </w:p>
    <w:p w:rsidR="00677E79" w:rsidRPr="00677E79" w:rsidRDefault="00677E79" w:rsidP="00677E79">
      <w:pPr>
        <w:rPr>
          <w:sz w:val="32"/>
          <w:szCs w:val="32"/>
        </w:rPr>
      </w:pPr>
      <w:bookmarkStart w:id="20" w:name="Anchor241"/>
      <w:bookmarkEnd w:id="20"/>
      <w:r w:rsidRPr="00677E79">
        <w:rPr>
          <w:b/>
          <w:bCs/>
          <w:sz w:val="32"/>
          <w:szCs w:val="32"/>
          <w:rtl/>
        </w:rPr>
        <w:t>فلهذه الأسباب</w:t>
      </w:r>
    </w:p>
    <w:p w:rsidR="00677E79" w:rsidRPr="00677E79" w:rsidRDefault="00677E79" w:rsidP="00677E79">
      <w:pPr>
        <w:rPr>
          <w:sz w:val="32"/>
          <w:szCs w:val="32"/>
        </w:rPr>
      </w:pPr>
      <w:bookmarkStart w:id="21" w:name="Anchor243"/>
      <w:bookmarkEnd w:id="21"/>
      <w:r w:rsidRPr="00677E79">
        <w:rPr>
          <w:b/>
          <w:bCs/>
          <w:sz w:val="32"/>
          <w:szCs w:val="32"/>
          <w:rtl/>
        </w:rPr>
        <w:t>حكمت المحكمة أولاً</w:t>
      </w:r>
      <w:r w:rsidRPr="00677E79">
        <w:rPr>
          <w:b/>
          <w:bCs/>
          <w:sz w:val="32"/>
          <w:szCs w:val="32"/>
        </w:rPr>
        <w:t>:-</w:t>
      </w:r>
      <w:r w:rsidRPr="00677E79">
        <w:rPr>
          <w:sz w:val="32"/>
          <w:szCs w:val="32"/>
        </w:rPr>
        <w:t xml:space="preserve"> </w:t>
      </w:r>
      <w:r w:rsidRPr="00677E79">
        <w:rPr>
          <w:sz w:val="32"/>
          <w:szCs w:val="32"/>
          <w:rtl/>
        </w:rPr>
        <w:t>بعدم جواز الطعن بالنسبة للتهمة الخامسة المنسوبة للطاعن</w:t>
      </w:r>
      <w:r w:rsidRPr="00677E79">
        <w:rPr>
          <w:sz w:val="32"/>
          <w:szCs w:val="32"/>
        </w:rPr>
        <w:t>.</w:t>
      </w:r>
    </w:p>
    <w:p w:rsidR="00677E79" w:rsidRPr="00677E79" w:rsidRDefault="00677E79" w:rsidP="00677E79">
      <w:pPr>
        <w:rPr>
          <w:sz w:val="32"/>
          <w:szCs w:val="32"/>
        </w:rPr>
      </w:pPr>
      <w:bookmarkStart w:id="22" w:name="Anchor253"/>
      <w:bookmarkEnd w:id="22"/>
      <w:r w:rsidRPr="00677E79">
        <w:rPr>
          <w:b/>
          <w:bCs/>
          <w:sz w:val="32"/>
          <w:szCs w:val="32"/>
          <w:rtl/>
        </w:rPr>
        <w:t>ثانياً</w:t>
      </w:r>
      <w:r w:rsidRPr="00677E79">
        <w:rPr>
          <w:b/>
          <w:bCs/>
          <w:sz w:val="32"/>
          <w:szCs w:val="32"/>
        </w:rPr>
        <w:t>:-</w:t>
      </w:r>
      <w:r w:rsidRPr="00677E79">
        <w:rPr>
          <w:sz w:val="32"/>
          <w:szCs w:val="32"/>
        </w:rPr>
        <w:t xml:space="preserve"> </w:t>
      </w:r>
      <w:r w:rsidRPr="00677E79">
        <w:rPr>
          <w:sz w:val="32"/>
          <w:szCs w:val="32"/>
          <w:rtl/>
        </w:rPr>
        <w:t>وفيما عدا ما تقدم بعدم قبول الطعن شكلاً مع مصادرة الكفالة</w:t>
      </w:r>
      <w:r w:rsidRPr="00677E79">
        <w:rPr>
          <w:sz w:val="32"/>
          <w:szCs w:val="32"/>
        </w:rPr>
        <w:t>.</w:t>
      </w:r>
    </w:p>
    <w:p w:rsidR="00677E79" w:rsidRPr="00677E79" w:rsidRDefault="00677E79" w:rsidP="00677E79">
      <w:pPr>
        <w:rPr>
          <w:sz w:val="32"/>
          <w:szCs w:val="32"/>
        </w:rPr>
      </w:pPr>
    </w:p>
    <w:p w:rsidR="00677E79" w:rsidRPr="00677E79" w:rsidRDefault="00677E79" w:rsidP="00677E79">
      <w:pPr>
        <w:rPr>
          <w:sz w:val="32"/>
          <w:szCs w:val="32"/>
        </w:rPr>
      </w:pPr>
      <w:bookmarkStart w:id="23" w:name="Anchor260"/>
      <w:bookmarkEnd w:id="23"/>
      <w:r w:rsidRPr="00677E79">
        <w:rPr>
          <w:sz w:val="32"/>
          <w:szCs w:val="32"/>
        </w:rPr>
        <w:t>* * *</w:t>
      </w:r>
    </w:p>
    <w:p w:rsidR="00F65C94" w:rsidRPr="00677E79" w:rsidRDefault="00F65C94">
      <w:pPr>
        <w:rPr>
          <w:sz w:val="32"/>
          <w:szCs w:val="32"/>
        </w:rPr>
      </w:pPr>
    </w:p>
    <w:sectPr w:rsidR="00F65C94" w:rsidRPr="00677E7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19"/>
    <w:rsid w:val="0003272B"/>
    <w:rsid w:val="00677E79"/>
    <w:rsid w:val="00F65C94"/>
    <w:rsid w:val="00F85D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E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E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96644">
      <w:bodyDiv w:val="1"/>
      <w:marLeft w:val="0"/>
      <w:marRight w:val="0"/>
      <w:marTop w:val="0"/>
      <w:marBottom w:val="0"/>
      <w:divBdr>
        <w:top w:val="none" w:sz="0" w:space="0" w:color="auto"/>
        <w:left w:val="none" w:sz="0" w:space="0" w:color="auto"/>
        <w:bottom w:val="none" w:sz="0" w:space="0" w:color="auto"/>
        <w:right w:val="none" w:sz="0" w:space="0" w:color="auto"/>
      </w:divBdr>
      <w:divsChild>
        <w:div w:id="1014307926">
          <w:marLeft w:val="0"/>
          <w:marRight w:val="0"/>
          <w:marTop w:val="0"/>
          <w:marBottom w:val="0"/>
          <w:divBdr>
            <w:top w:val="none" w:sz="0" w:space="0" w:color="auto"/>
            <w:left w:val="none" w:sz="0" w:space="0" w:color="auto"/>
            <w:bottom w:val="none" w:sz="0" w:space="0" w:color="auto"/>
            <w:right w:val="none" w:sz="0" w:space="0" w:color="auto"/>
          </w:divBdr>
        </w:div>
        <w:div w:id="670375903">
          <w:marLeft w:val="0"/>
          <w:marRight w:val="0"/>
          <w:marTop w:val="0"/>
          <w:marBottom w:val="0"/>
          <w:divBdr>
            <w:top w:val="none" w:sz="0" w:space="0" w:color="auto"/>
            <w:left w:val="none" w:sz="0" w:space="0" w:color="auto"/>
            <w:bottom w:val="none" w:sz="0" w:space="0" w:color="auto"/>
            <w:right w:val="none" w:sz="0" w:space="0" w:color="auto"/>
          </w:divBdr>
        </w:div>
        <w:div w:id="1107772280">
          <w:marLeft w:val="0"/>
          <w:marRight w:val="0"/>
          <w:marTop w:val="0"/>
          <w:marBottom w:val="0"/>
          <w:divBdr>
            <w:top w:val="none" w:sz="0" w:space="0" w:color="auto"/>
            <w:left w:val="none" w:sz="0" w:space="0" w:color="auto"/>
            <w:bottom w:val="none" w:sz="0" w:space="0" w:color="auto"/>
            <w:right w:val="none" w:sz="0" w:space="0" w:color="auto"/>
          </w:divBdr>
        </w:div>
        <w:div w:id="1827474827">
          <w:marLeft w:val="0"/>
          <w:marRight w:val="0"/>
          <w:marTop w:val="0"/>
          <w:marBottom w:val="0"/>
          <w:divBdr>
            <w:top w:val="none" w:sz="0" w:space="0" w:color="auto"/>
            <w:left w:val="none" w:sz="0" w:space="0" w:color="auto"/>
            <w:bottom w:val="none" w:sz="0" w:space="0" w:color="auto"/>
            <w:right w:val="none" w:sz="0" w:space="0" w:color="auto"/>
          </w:divBdr>
        </w:div>
        <w:div w:id="714814055">
          <w:marLeft w:val="0"/>
          <w:marRight w:val="0"/>
          <w:marTop w:val="0"/>
          <w:marBottom w:val="0"/>
          <w:divBdr>
            <w:top w:val="none" w:sz="0" w:space="0" w:color="auto"/>
            <w:left w:val="none" w:sz="0" w:space="0" w:color="auto"/>
            <w:bottom w:val="none" w:sz="0" w:space="0" w:color="auto"/>
            <w:right w:val="none" w:sz="0" w:space="0" w:color="auto"/>
          </w:divBdr>
        </w:div>
        <w:div w:id="588541017">
          <w:marLeft w:val="0"/>
          <w:marRight w:val="0"/>
          <w:marTop w:val="0"/>
          <w:marBottom w:val="0"/>
          <w:divBdr>
            <w:top w:val="none" w:sz="0" w:space="0" w:color="auto"/>
            <w:left w:val="none" w:sz="0" w:space="0" w:color="auto"/>
            <w:bottom w:val="none" w:sz="0" w:space="0" w:color="auto"/>
            <w:right w:val="none" w:sz="0" w:space="0" w:color="auto"/>
          </w:divBdr>
        </w:div>
        <w:div w:id="779299738">
          <w:marLeft w:val="0"/>
          <w:marRight w:val="0"/>
          <w:marTop w:val="0"/>
          <w:marBottom w:val="0"/>
          <w:divBdr>
            <w:top w:val="none" w:sz="0" w:space="0" w:color="auto"/>
            <w:left w:val="none" w:sz="0" w:space="0" w:color="auto"/>
            <w:bottom w:val="none" w:sz="0" w:space="0" w:color="auto"/>
            <w:right w:val="none" w:sz="0" w:space="0" w:color="auto"/>
          </w:divBdr>
        </w:div>
        <w:div w:id="1489906398">
          <w:marLeft w:val="0"/>
          <w:marRight w:val="0"/>
          <w:marTop w:val="0"/>
          <w:marBottom w:val="0"/>
          <w:divBdr>
            <w:top w:val="none" w:sz="0" w:space="0" w:color="auto"/>
            <w:left w:val="none" w:sz="0" w:space="0" w:color="auto"/>
            <w:bottom w:val="none" w:sz="0" w:space="0" w:color="auto"/>
            <w:right w:val="none" w:sz="0" w:space="0" w:color="auto"/>
          </w:divBdr>
        </w:div>
        <w:div w:id="304896145">
          <w:marLeft w:val="0"/>
          <w:marRight w:val="0"/>
          <w:marTop w:val="0"/>
          <w:marBottom w:val="0"/>
          <w:divBdr>
            <w:top w:val="none" w:sz="0" w:space="0" w:color="auto"/>
            <w:left w:val="none" w:sz="0" w:space="0" w:color="auto"/>
            <w:bottom w:val="none" w:sz="0" w:space="0" w:color="auto"/>
            <w:right w:val="none" w:sz="0" w:space="0" w:color="auto"/>
          </w:divBdr>
        </w:div>
        <w:div w:id="1516729637">
          <w:marLeft w:val="0"/>
          <w:marRight w:val="0"/>
          <w:marTop w:val="0"/>
          <w:marBottom w:val="0"/>
          <w:divBdr>
            <w:top w:val="none" w:sz="0" w:space="0" w:color="auto"/>
            <w:left w:val="none" w:sz="0" w:space="0" w:color="auto"/>
            <w:bottom w:val="none" w:sz="0" w:space="0" w:color="auto"/>
            <w:right w:val="none" w:sz="0" w:space="0" w:color="auto"/>
          </w:divBdr>
        </w:div>
        <w:div w:id="716052160">
          <w:marLeft w:val="0"/>
          <w:marRight w:val="0"/>
          <w:marTop w:val="0"/>
          <w:marBottom w:val="0"/>
          <w:divBdr>
            <w:top w:val="none" w:sz="0" w:space="0" w:color="auto"/>
            <w:left w:val="none" w:sz="0" w:space="0" w:color="auto"/>
            <w:bottom w:val="none" w:sz="0" w:space="0" w:color="auto"/>
            <w:right w:val="none" w:sz="0" w:space="0" w:color="auto"/>
          </w:divBdr>
        </w:div>
        <w:div w:id="1651330187">
          <w:marLeft w:val="0"/>
          <w:marRight w:val="0"/>
          <w:marTop w:val="0"/>
          <w:marBottom w:val="0"/>
          <w:divBdr>
            <w:top w:val="none" w:sz="0" w:space="0" w:color="auto"/>
            <w:left w:val="none" w:sz="0" w:space="0" w:color="auto"/>
            <w:bottom w:val="none" w:sz="0" w:space="0" w:color="auto"/>
            <w:right w:val="none" w:sz="0" w:space="0" w:color="auto"/>
          </w:divBdr>
        </w:div>
        <w:div w:id="225578594">
          <w:marLeft w:val="0"/>
          <w:marRight w:val="0"/>
          <w:marTop w:val="0"/>
          <w:marBottom w:val="0"/>
          <w:divBdr>
            <w:top w:val="none" w:sz="0" w:space="0" w:color="auto"/>
            <w:left w:val="none" w:sz="0" w:space="0" w:color="auto"/>
            <w:bottom w:val="none" w:sz="0" w:space="0" w:color="auto"/>
            <w:right w:val="none" w:sz="0" w:space="0" w:color="auto"/>
          </w:divBdr>
        </w:div>
        <w:div w:id="1617100979">
          <w:marLeft w:val="0"/>
          <w:marRight w:val="0"/>
          <w:marTop w:val="0"/>
          <w:marBottom w:val="0"/>
          <w:divBdr>
            <w:top w:val="none" w:sz="0" w:space="0" w:color="auto"/>
            <w:left w:val="none" w:sz="0" w:space="0" w:color="auto"/>
            <w:bottom w:val="none" w:sz="0" w:space="0" w:color="auto"/>
            <w:right w:val="none" w:sz="0" w:space="0" w:color="auto"/>
          </w:divBdr>
        </w:div>
        <w:div w:id="1499420055">
          <w:marLeft w:val="0"/>
          <w:marRight w:val="0"/>
          <w:marTop w:val="0"/>
          <w:marBottom w:val="0"/>
          <w:divBdr>
            <w:top w:val="none" w:sz="0" w:space="0" w:color="auto"/>
            <w:left w:val="none" w:sz="0" w:space="0" w:color="auto"/>
            <w:bottom w:val="none" w:sz="0" w:space="0" w:color="auto"/>
            <w:right w:val="none" w:sz="0" w:space="0" w:color="auto"/>
          </w:divBdr>
        </w:div>
        <w:div w:id="898827957">
          <w:marLeft w:val="0"/>
          <w:marRight w:val="0"/>
          <w:marTop w:val="0"/>
          <w:marBottom w:val="0"/>
          <w:divBdr>
            <w:top w:val="none" w:sz="0" w:space="0" w:color="auto"/>
            <w:left w:val="none" w:sz="0" w:space="0" w:color="auto"/>
            <w:bottom w:val="none" w:sz="0" w:space="0" w:color="auto"/>
            <w:right w:val="none" w:sz="0" w:space="0" w:color="auto"/>
          </w:divBdr>
        </w:div>
        <w:div w:id="1350525473">
          <w:marLeft w:val="0"/>
          <w:marRight w:val="0"/>
          <w:marTop w:val="0"/>
          <w:marBottom w:val="0"/>
          <w:divBdr>
            <w:top w:val="none" w:sz="0" w:space="0" w:color="auto"/>
            <w:left w:val="none" w:sz="0" w:space="0" w:color="auto"/>
            <w:bottom w:val="none" w:sz="0" w:space="0" w:color="auto"/>
            <w:right w:val="none" w:sz="0" w:space="0" w:color="auto"/>
          </w:divBdr>
        </w:div>
        <w:div w:id="732042217">
          <w:marLeft w:val="0"/>
          <w:marRight w:val="0"/>
          <w:marTop w:val="0"/>
          <w:marBottom w:val="0"/>
          <w:divBdr>
            <w:top w:val="none" w:sz="0" w:space="0" w:color="auto"/>
            <w:left w:val="none" w:sz="0" w:space="0" w:color="auto"/>
            <w:bottom w:val="none" w:sz="0" w:space="0" w:color="auto"/>
            <w:right w:val="none" w:sz="0" w:space="0" w:color="auto"/>
          </w:divBdr>
        </w:div>
      </w:divsChild>
    </w:div>
    <w:div w:id="1781949192">
      <w:bodyDiv w:val="1"/>
      <w:marLeft w:val="0"/>
      <w:marRight w:val="0"/>
      <w:marTop w:val="0"/>
      <w:marBottom w:val="0"/>
      <w:divBdr>
        <w:top w:val="none" w:sz="0" w:space="0" w:color="auto"/>
        <w:left w:val="none" w:sz="0" w:space="0" w:color="auto"/>
        <w:bottom w:val="none" w:sz="0" w:space="0" w:color="auto"/>
        <w:right w:val="none" w:sz="0" w:space="0" w:color="auto"/>
      </w:divBdr>
      <w:divsChild>
        <w:div w:id="398691">
          <w:marLeft w:val="0"/>
          <w:marRight w:val="0"/>
          <w:marTop w:val="0"/>
          <w:marBottom w:val="0"/>
          <w:divBdr>
            <w:top w:val="none" w:sz="0" w:space="0" w:color="auto"/>
            <w:left w:val="none" w:sz="0" w:space="0" w:color="auto"/>
            <w:bottom w:val="none" w:sz="0" w:space="0" w:color="auto"/>
            <w:right w:val="none" w:sz="0" w:space="0" w:color="auto"/>
          </w:divBdr>
        </w:div>
        <w:div w:id="2135562938">
          <w:marLeft w:val="0"/>
          <w:marRight w:val="0"/>
          <w:marTop w:val="0"/>
          <w:marBottom w:val="0"/>
          <w:divBdr>
            <w:top w:val="none" w:sz="0" w:space="0" w:color="auto"/>
            <w:left w:val="none" w:sz="0" w:space="0" w:color="auto"/>
            <w:bottom w:val="none" w:sz="0" w:space="0" w:color="auto"/>
            <w:right w:val="none" w:sz="0" w:space="0" w:color="auto"/>
          </w:divBdr>
        </w:div>
        <w:div w:id="1869100943">
          <w:marLeft w:val="0"/>
          <w:marRight w:val="0"/>
          <w:marTop w:val="0"/>
          <w:marBottom w:val="0"/>
          <w:divBdr>
            <w:top w:val="none" w:sz="0" w:space="0" w:color="auto"/>
            <w:left w:val="none" w:sz="0" w:space="0" w:color="auto"/>
            <w:bottom w:val="none" w:sz="0" w:space="0" w:color="auto"/>
            <w:right w:val="none" w:sz="0" w:space="0" w:color="auto"/>
          </w:divBdr>
        </w:div>
        <w:div w:id="1989937196">
          <w:marLeft w:val="0"/>
          <w:marRight w:val="0"/>
          <w:marTop w:val="0"/>
          <w:marBottom w:val="0"/>
          <w:divBdr>
            <w:top w:val="none" w:sz="0" w:space="0" w:color="auto"/>
            <w:left w:val="none" w:sz="0" w:space="0" w:color="auto"/>
            <w:bottom w:val="none" w:sz="0" w:space="0" w:color="auto"/>
            <w:right w:val="none" w:sz="0" w:space="0" w:color="auto"/>
          </w:divBdr>
        </w:div>
        <w:div w:id="283075801">
          <w:marLeft w:val="0"/>
          <w:marRight w:val="0"/>
          <w:marTop w:val="0"/>
          <w:marBottom w:val="0"/>
          <w:divBdr>
            <w:top w:val="none" w:sz="0" w:space="0" w:color="auto"/>
            <w:left w:val="none" w:sz="0" w:space="0" w:color="auto"/>
            <w:bottom w:val="none" w:sz="0" w:space="0" w:color="auto"/>
            <w:right w:val="none" w:sz="0" w:space="0" w:color="auto"/>
          </w:divBdr>
        </w:div>
        <w:div w:id="1936088974">
          <w:marLeft w:val="0"/>
          <w:marRight w:val="0"/>
          <w:marTop w:val="0"/>
          <w:marBottom w:val="0"/>
          <w:divBdr>
            <w:top w:val="none" w:sz="0" w:space="0" w:color="auto"/>
            <w:left w:val="none" w:sz="0" w:space="0" w:color="auto"/>
            <w:bottom w:val="none" w:sz="0" w:space="0" w:color="auto"/>
            <w:right w:val="none" w:sz="0" w:space="0" w:color="auto"/>
          </w:divBdr>
        </w:div>
        <w:div w:id="1722242609">
          <w:marLeft w:val="0"/>
          <w:marRight w:val="0"/>
          <w:marTop w:val="0"/>
          <w:marBottom w:val="0"/>
          <w:divBdr>
            <w:top w:val="none" w:sz="0" w:space="0" w:color="auto"/>
            <w:left w:val="none" w:sz="0" w:space="0" w:color="auto"/>
            <w:bottom w:val="none" w:sz="0" w:space="0" w:color="auto"/>
            <w:right w:val="none" w:sz="0" w:space="0" w:color="auto"/>
          </w:divBdr>
        </w:div>
        <w:div w:id="1220557824">
          <w:marLeft w:val="0"/>
          <w:marRight w:val="0"/>
          <w:marTop w:val="0"/>
          <w:marBottom w:val="0"/>
          <w:divBdr>
            <w:top w:val="none" w:sz="0" w:space="0" w:color="auto"/>
            <w:left w:val="none" w:sz="0" w:space="0" w:color="auto"/>
            <w:bottom w:val="none" w:sz="0" w:space="0" w:color="auto"/>
            <w:right w:val="none" w:sz="0" w:space="0" w:color="auto"/>
          </w:divBdr>
        </w:div>
        <w:div w:id="1677415884">
          <w:marLeft w:val="0"/>
          <w:marRight w:val="0"/>
          <w:marTop w:val="0"/>
          <w:marBottom w:val="0"/>
          <w:divBdr>
            <w:top w:val="none" w:sz="0" w:space="0" w:color="auto"/>
            <w:left w:val="none" w:sz="0" w:space="0" w:color="auto"/>
            <w:bottom w:val="none" w:sz="0" w:space="0" w:color="auto"/>
            <w:right w:val="none" w:sz="0" w:space="0" w:color="auto"/>
          </w:divBdr>
        </w:div>
        <w:div w:id="565914293">
          <w:marLeft w:val="0"/>
          <w:marRight w:val="0"/>
          <w:marTop w:val="0"/>
          <w:marBottom w:val="0"/>
          <w:divBdr>
            <w:top w:val="none" w:sz="0" w:space="0" w:color="auto"/>
            <w:left w:val="none" w:sz="0" w:space="0" w:color="auto"/>
            <w:bottom w:val="none" w:sz="0" w:space="0" w:color="auto"/>
            <w:right w:val="none" w:sz="0" w:space="0" w:color="auto"/>
          </w:divBdr>
        </w:div>
        <w:div w:id="1806773770">
          <w:marLeft w:val="0"/>
          <w:marRight w:val="0"/>
          <w:marTop w:val="0"/>
          <w:marBottom w:val="0"/>
          <w:divBdr>
            <w:top w:val="none" w:sz="0" w:space="0" w:color="auto"/>
            <w:left w:val="none" w:sz="0" w:space="0" w:color="auto"/>
            <w:bottom w:val="none" w:sz="0" w:space="0" w:color="auto"/>
            <w:right w:val="none" w:sz="0" w:space="0" w:color="auto"/>
          </w:divBdr>
        </w:div>
        <w:div w:id="1123769588">
          <w:marLeft w:val="0"/>
          <w:marRight w:val="0"/>
          <w:marTop w:val="0"/>
          <w:marBottom w:val="0"/>
          <w:divBdr>
            <w:top w:val="none" w:sz="0" w:space="0" w:color="auto"/>
            <w:left w:val="none" w:sz="0" w:space="0" w:color="auto"/>
            <w:bottom w:val="none" w:sz="0" w:space="0" w:color="auto"/>
            <w:right w:val="none" w:sz="0" w:space="0" w:color="auto"/>
          </w:divBdr>
        </w:div>
        <w:div w:id="707952262">
          <w:marLeft w:val="0"/>
          <w:marRight w:val="0"/>
          <w:marTop w:val="0"/>
          <w:marBottom w:val="0"/>
          <w:divBdr>
            <w:top w:val="none" w:sz="0" w:space="0" w:color="auto"/>
            <w:left w:val="none" w:sz="0" w:space="0" w:color="auto"/>
            <w:bottom w:val="none" w:sz="0" w:space="0" w:color="auto"/>
            <w:right w:val="none" w:sz="0" w:space="0" w:color="auto"/>
          </w:divBdr>
        </w:div>
        <w:div w:id="300381998">
          <w:marLeft w:val="0"/>
          <w:marRight w:val="0"/>
          <w:marTop w:val="0"/>
          <w:marBottom w:val="0"/>
          <w:divBdr>
            <w:top w:val="none" w:sz="0" w:space="0" w:color="auto"/>
            <w:left w:val="none" w:sz="0" w:space="0" w:color="auto"/>
            <w:bottom w:val="none" w:sz="0" w:space="0" w:color="auto"/>
            <w:right w:val="none" w:sz="0" w:space="0" w:color="auto"/>
          </w:divBdr>
        </w:div>
        <w:div w:id="1282225710">
          <w:marLeft w:val="0"/>
          <w:marRight w:val="0"/>
          <w:marTop w:val="0"/>
          <w:marBottom w:val="0"/>
          <w:divBdr>
            <w:top w:val="none" w:sz="0" w:space="0" w:color="auto"/>
            <w:left w:val="none" w:sz="0" w:space="0" w:color="auto"/>
            <w:bottom w:val="none" w:sz="0" w:space="0" w:color="auto"/>
            <w:right w:val="none" w:sz="0" w:space="0" w:color="auto"/>
          </w:divBdr>
        </w:div>
        <w:div w:id="769006872">
          <w:marLeft w:val="0"/>
          <w:marRight w:val="0"/>
          <w:marTop w:val="0"/>
          <w:marBottom w:val="0"/>
          <w:divBdr>
            <w:top w:val="none" w:sz="0" w:space="0" w:color="auto"/>
            <w:left w:val="none" w:sz="0" w:space="0" w:color="auto"/>
            <w:bottom w:val="none" w:sz="0" w:space="0" w:color="auto"/>
            <w:right w:val="none" w:sz="0" w:space="0" w:color="auto"/>
          </w:divBdr>
        </w:div>
        <w:div w:id="1160344668">
          <w:marLeft w:val="0"/>
          <w:marRight w:val="0"/>
          <w:marTop w:val="0"/>
          <w:marBottom w:val="0"/>
          <w:divBdr>
            <w:top w:val="none" w:sz="0" w:space="0" w:color="auto"/>
            <w:left w:val="none" w:sz="0" w:space="0" w:color="auto"/>
            <w:bottom w:val="none" w:sz="0" w:space="0" w:color="auto"/>
            <w:right w:val="none" w:sz="0" w:space="0" w:color="auto"/>
          </w:divBdr>
        </w:div>
        <w:div w:id="43595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2020-04-26T11:11:00Z</dcterms:created>
  <dcterms:modified xsi:type="dcterms:W3CDTF">2020-04-26T11:11:00Z</dcterms:modified>
</cp:coreProperties>
</file>