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AE" w:rsidRPr="00F515AE" w:rsidRDefault="00F515AE" w:rsidP="00F515AE">
      <w:pPr>
        <w:jc w:val="center"/>
        <w:rPr>
          <w:sz w:val="32"/>
          <w:szCs w:val="32"/>
        </w:rPr>
      </w:pPr>
      <w:bookmarkStart w:id="0" w:name="Anchor1"/>
      <w:bookmarkEnd w:id="0"/>
      <w:r w:rsidRPr="00F515AE">
        <w:rPr>
          <w:sz w:val="32"/>
          <w:szCs w:val="32"/>
          <w:rtl/>
        </w:rPr>
        <w:t>الطعن رقم 4</w:t>
      </w:r>
      <w:bookmarkStart w:id="1" w:name="_GoBack"/>
      <w:bookmarkEnd w:id="1"/>
      <w:r w:rsidRPr="00F515AE">
        <w:rPr>
          <w:sz w:val="32"/>
          <w:szCs w:val="32"/>
          <w:rtl/>
        </w:rPr>
        <w:t>70/2013</w:t>
      </w:r>
    </w:p>
    <w:p w:rsidR="00F515AE" w:rsidRPr="00F515AE" w:rsidRDefault="00F515AE" w:rsidP="00F515AE">
      <w:pPr>
        <w:rPr>
          <w:sz w:val="32"/>
          <w:szCs w:val="32"/>
        </w:rPr>
      </w:pPr>
      <w:bookmarkStart w:id="2" w:name="Anchor6"/>
      <w:bookmarkEnd w:id="2"/>
      <w:r w:rsidRPr="00F515AE">
        <w:rPr>
          <w:sz w:val="32"/>
          <w:szCs w:val="32"/>
          <w:rtl/>
        </w:rPr>
        <w:t>هيئة المحكمة</w:t>
      </w:r>
      <w:r w:rsidRPr="00F515AE">
        <w:rPr>
          <w:sz w:val="32"/>
          <w:szCs w:val="32"/>
        </w:rPr>
        <w:t xml:space="preserve">: </w:t>
      </w:r>
      <w:r w:rsidRPr="00F515AE">
        <w:rPr>
          <w:sz w:val="32"/>
          <w:szCs w:val="32"/>
          <w:rtl/>
        </w:rPr>
        <w:t>برئاسة السيد المستشار سالم عوض الخضير وكيل المحكمة وعضوية السادة المستشارين عبدالله جاسم العبدالله وممدوح يوسف وسيد الدليل ولاشين إبراهيم</w:t>
      </w:r>
    </w:p>
    <w:bookmarkStart w:id="3" w:name="Anchor25"/>
    <w:bookmarkEnd w:id="3"/>
    <w:p w:rsidR="00F515AE" w:rsidRPr="00F515AE" w:rsidRDefault="00F515AE" w:rsidP="00F515AE">
      <w:pPr>
        <w:rPr>
          <w:sz w:val="32"/>
          <w:szCs w:val="32"/>
        </w:rPr>
      </w:pPr>
      <w:r w:rsidRPr="00F515AE">
        <w:rPr>
          <w:sz w:val="32"/>
          <w:szCs w:val="32"/>
        </w:rPr>
        <w:fldChar w:fldCharType="begin"/>
      </w:r>
      <w:r w:rsidRPr="00F515AE">
        <w:rPr>
          <w:sz w:val="32"/>
          <w:szCs w:val="32"/>
        </w:rPr>
        <w:instrText xml:space="preserve"> HYPERLINK "http://www.law.gov.kw/KWT_CC-Ar/00_2014/00_%D8%A7%D9%84%D8%AF%D8%A7%D8%A6%D8%B1%D8%A9%20%D8%A7%D9%84%D8%AC%D8%B2%D8%A7%D8%A6%D9%8A%D8%A9/KWT-CC-Ar_2014-02-03_00470_Taan.html" \l "TM2014_470_1" </w:instrText>
      </w:r>
      <w:r w:rsidRPr="00F515AE">
        <w:rPr>
          <w:sz w:val="32"/>
          <w:szCs w:val="32"/>
        </w:rPr>
        <w:fldChar w:fldCharType="separate"/>
      </w:r>
      <w:r w:rsidRPr="00F515AE">
        <w:rPr>
          <w:rStyle w:val="Hyperlink"/>
          <w:sz w:val="32"/>
          <w:szCs w:val="32"/>
        </w:rPr>
        <w:t xml:space="preserve">1- </w:t>
      </w:r>
      <w:r w:rsidRPr="00F515AE">
        <w:rPr>
          <w:rStyle w:val="Hyperlink"/>
          <w:sz w:val="32"/>
          <w:szCs w:val="32"/>
          <w:rtl/>
        </w:rPr>
        <w:t>ان الإستئناف يعيد طرح الواقعة برمتها على محكمة ثاني درجة فيكون لها ان تعطي الوقائع التي سبق ان طرحت على محكمة اول درجة وصفها القانوني الصحيح دون ان تتقيد بوصف النيابة العامة</w:t>
      </w:r>
      <w:r w:rsidRPr="00F515AE">
        <w:rPr>
          <w:rStyle w:val="Hyperlink"/>
          <w:sz w:val="32"/>
          <w:szCs w:val="32"/>
        </w:rPr>
        <w:t>.</w:t>
      </w:r>
      <w:r w:rsidRPr="00F515AE">
        <w:rPr>
          <w:sz w:val="32"/>
          <w:szCs w:val="32"/>
        </w:rPr>
        <w:fldChar w:fldCharType="end"/>
      </w:r>
    </w:p>
    <w:bookmarkStart w:id="4" w:name="Anchor43"/>
    <w:bookmarkEnd w:id="4"/>
    <w:p w:rsidR="00F515AE" w:rsidRPr="00F515AE" w:rsidRDefault="00F515AE" w:rsidP="00F515AE">
      <w:pPr>
        <w:rPr>
          <w:sz w:val="32"/>
          <w:szCs w:val="32"/>
        </w:rPr>
      </w:pPr>
      <w:r w:rsidRPr="00F515AE">
        <w:rPr>
          <w:sz w:val="32"/>
          <w:szCs w:val="32"/>
        </w:rPr>
        <w:fldChar w:fldCharType="begin"/>
      </w:r>
      <w:r w:rsidRPr="00F515AE">
        <w:rPr>
          <w:sz w:val="32"/>
          <w:szCs w:val="32"/>
        </w:rPr>
        <w:instrText xml:space="preserve"> HYPERLINK "http://www.law.gov.kw/KWT_CC-Ar/00_2014/00_%D8%A7%D9%84%D8%AF%D8%A7%D8%A6%D8%B1%D8%A9%20%D8%A7%D9%84%D8%AC%D8%B2%D8%A7%D8%A6%D9%8A%D8%A9/KWT-CC-Ar_2014-02-03_00470_Taan.html" \l "TM2014_470_2" </w:instrText>
      </w:r>
      <w:r w:rsidRPr="00F515AE">
        <w:rPr>
          <w:sz w:val="32"/>
          <w:szCs w:val="32"/>
        </w:rPr>
        <w:fldChar w:fldCharType="separate"/>
      </w:r>
      <w:r w:rsidRPr="00F515AE">
        <w:rPr>
          <w:rStyle w:val="Hyperlink"/>
          <w:sz w:val="32"/>
          <w:szCs w:val="32"/>
        </w:rPr>
        <w:t xml:space="preserve">2- </w:t>
      </w:r>
      <w:r w:rsidRPr="00F515AE">
        <w:rPr>
          <w:rStyle w:val="Hyperlink"/>
          <w:sz w:val="32"/>
          <w:szCs w:val="32"/>
          <w:rtl/>
        </w:rPr>
        <w:t>ان البحث في توافر نية القتل لدى الجاني او عدم توافرها هو مما يدخل في سلطة محكمة الموضوع التقديرية</w:t>
      </w:r>
      <w:r w:rsidRPr="00F515AE">
        <w:rPr>
          <w:rStyle w:val="Hyperlink"/>
          <w:sz w:val="32"/>
          <w:szCs w:val="32"/>
        </w:rPr>
        <w:t>.</w:t>
      </w:r>
      <w:r w:rsidRPr="00F515AE">
        <w:rPr>
          <w:sz w:val="32"/>
          <w:szCs w:val="32"/>
        </w:rPr>
        <w:fldChar w:fldCharType="end"/>
      </w:r>
      <w:r w:rsidRPr="00F515AE">
        <w:rPr>
          <w:sz w:val="32"/>
          <w:szCs w:val="32"/>
        </w:rPr>
        <w:br/>
      </w:r>
      <w:r w:rsidRPr="00F515AE">
        <w:rPr>
          <w:sz w:val="32"/>
          <w:szCs w:val="32"/>
        </w:rPr>
        <w:br/>
      </w:r>
      <w:r w:rsidRPr="00F515AE">
        <w:rPr>
          <w:sz w:val="32"/>
          <w:szCs w:val="32"/>
          <w:u w:val="single"/>
          <w:rtl/>
        </w:rPr>
        <w:t>ملاحظة</w:t>
      </w:r>
      <w:r w:rsidRPr="00F515AE">
        <w:rPr>
          <w:sz w:val="32"/>
          <w:szCs w:val="32"/>
          <w:u w:val="single"/>
        </w:rPr>
        <w:t xml:space="preserve"> :</w:t>
      </w:r>
      <w:r w:rsidRPr="00F515AE">
        <w:rPr>
          <w:sz w:val="32"/>
          <w:szCs w:val="32"/>
        </w:rPr>
        <w:br/>
      </w:r>
      <w:r w:rsidRPr="00F515A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515AE" w:rsidRPr="00F515AE" w:rsidRDefault="00F515AE" w:rsidP="00F515AE">
      <w:pPr>
        <w:rPr>
          <w:sz w:val="32"/>
          <w:szCs w:val="32"/>
        </w:rPr>
      </w:pPr>
      <w:bookmarkStart w:id="5" w:name="Anchor54"/>
      <w:bookmarkEnd w:id="5"/>
      <w:r w:rsidRPr="00F515AE">
        <w:rPr>
          <w:b/>
          <w:bCs/>
          <w:sz w:val="32"/>
          <w:szCs w:val="32"/>
          <w:rtl/>
        </w:rPr>
        <w:t>المحكمـة</w:t>
      </w:r>
    </w:p>
    <w:p w:rsidR="00F515AE" w:rsidRPr="00F515AE" w:rsidRDefault="00F515AE" w:rsidP="00F515AE">
      <w:pPr>
        <w:rPr>
          <w:sz w:val="32"/>
          <w:szCs w:val="32"/>
        </w:rPr>
      </w:pPr>
      <w:bookmarkStart w:id="6" w:name="Anchor55"/>
      <w:bookmarkEnd w:id="6"/>
      <w:r w:rsidRPr="00F515AE">
        <w:rPr>
          <w:sz w:val="32"/>
          <w:szCs w:val="32"/>
          <w:rtl/>
        </w:rPr>
        <w:t>بعد الإطلاع على الأوراق ، وسماع المرافعة، وبعد المداولة</w:t>
      </w:r>
      <w:r w:rsidRPr="00F515AE">
        <w:rPr>
          <w:sz w:val="32"/>
          <w:szCs w:val="32"/>
        </w:rPr>
        <w:t>:-</w:t>
      </w:r>
    </w:p>
    <w:p w:rsidR="00F515AE" w:rsidRPr="00F515AE" w:rsidRDefault="00F515AE" w:rsidP="00F515AE">
      <w:pPr>
        <w:rPr>
          <w:sz w:val="32"/>
          <w:szCs w:val="32"/>
        </w:rPr>
      </w:pPr>
      <w:bookmarkStart w:id="7" w:name="Anchor62"/>
      <w:bookmarkEnd w:id="7"/>
      <w:r w:rsidRPr="00F515AE">
        <w:rPr>
          <w:sz w:val="32"/>
          <w:szCs w:val="32"/>
          <w:rtl/>
        </w:rPr>
        <w:t>أولاً</w:t>
      </w:r>
      <w:r w:rsidRPr="00F515AE">
        <w:rPr>
          <w:sz w:val="32"/>
          <w:szCs w:val="32"/>
        </w:rPr>
        <w:t xml:space="preserve">: </w:t>
      </w:r>
      <w:r w:rsidRPr="00F515AE">
        <w:rPr>
          <w:sz w:val="32"/>
          <w:szCs w:val="32"/>
          <w:rtl/>
        </w:rPr>
        <w:t xml:space="preserve">بالنسبة للطعن المرفوع من المحكوم عليه </w:t>
      </w:r>
      <w:r w:rsidRPr="00F515AE">
        <w:rPr>
          <w:sz w:val="32"/>
          <w:szCs w:val="32"/>
        </w:rPr>
        <w:t>................ :</w:t>
      </w:r>
    </w:p>
    <w:p w:rsidR="00F515AE" w:rsidRPr="00F515AE" w:rsidRDefault="00F515AE" w:rsidP="00F515AE">
      <w:pPr>
        <w:rPr>
          <w:sz w:val="32"/>
          <w:szCs w:val="32"/>
        </w:rPr>
      </w:pPr>
      <w:bookmarkStart w:id="8" w:name="Anchor69"/>
      <w:bookmarkEnd w:id="8"/>
      <w:r w:rsidRPr="00F515AE">
        <w:rPr>
          <w:sz w:val="32"/>
          <w:szCs w:val="32"/>
          <w:rtl/>
        </w:rPr>
        <w:t>من حيث إن القانون رقم 40 لسنة 1972 بشأن حالات الطعن بالتمييز وإجراءاته قد أوجب في المادة 11 منه لقبول طعن المحكوم عليه بعقوبة غير مقيدة للحرية إيداع كفالة مقدارها خمسين ديناراً خزينة وزارة العدل ما لم يكن معفياً من آداء الرسوم، وكانت أوراق الطعن قد خلت مما يدل على أن الطعن الذى قضى الحكم بالإمتناع عن النطق بعقابه قد أودع الكفالة المقررة قانوناً أو أعفى من أدائها، فإن طعنه يكون غير مقبول شكلاً</w:t>
      </w:r>
      <w:r w:rsidRPr="00F515AE">
        <w:rPr>
          <w:sz w:val="32"/>
          <w:szCs w:val="32"/>
        </w:rPr>
        <w:t>.</w:t>
      </w:r>
    </w:p>
    <w:p w:rsidR="00F515AE" w:rsidRPr="00F515AE" w:rsidRDefault="00F515AE" w:rsidP="00F515AE">
      <w:pPr>
        <w:rPr>
          <w:sz w:val="32"/>
          <w:szCs w:val="32"/>
        </w:rPr>
      </w:pPr>
      <w:bookmarkStart w:id="9" w:name="Anchor106"/>
      <w:bookmarkEnd w:id="9"/>
      <w:r w:rsidRPr="00F515AE">
        <w:rPr>
          <w:sz w:val="32"/>
          <w:szCs w:val="32"/>
          <w:rtl/>
        </w:rPr>
        <w:t>ثانياً</w:t>
      </w:r>
      <w:r w:rsidRPr="00F515AE">
        <w:rPr>
          <w:sz w:val="32"/>
          <w:szCs w:val="32"/>
        </w:rPr>
        <w:t xml:space="preserve">: </w:t>
      </w:r>
      <w:r w:rsidRPr="00F515AE">
        <w:rPr>
          <w:sz w:val="32"/>
          <w:szCs w:val="32"/>
          <w:rtl/>
        </w:rPr>
        <w:t>بالنسبة للطعن المرفوع من النيابة العامة</w:t>
      </w:r>
      <w:r w:rsidRPr="00F515AE">
        <w:rPr>
          <w:sz w:val="32"/>
          <w:szCs w:val="32"/>
        </w:rPr>
        <w:t>:</w:t>
      </w:r>
    </w:p>
    <w:p w:rsidR="00F515AE" w:rsidRPr="00F515AE" w:rsidRDefault="00F515AE" w:rsidP="00F515AE">
      <w:pPr>
        <w:rPr>
          <w:sz w:val="32"/>
          <w:szCs w:val="32"/>
        </w:rPr>
      </w:pPr>
      <w:bookmarkStart w:id="10" w:name="Anchor112"/>
      <w:bookmarkEnd w:id="10"/>
      <w:r w:rsidRPr="00F515AE">
        <w:rPr>
          <w:sz w:val="32"/>
          <w:szCs w:val="32"/>
          <w:rtl/>
        </w:rPr>
        <w:t>من حيث إن الطعن قد استوفى الشكل المقرر في القانون</w:t>
      </w:r>
      <w:r w:rsidRPr="00F515AE">
        <w:rPr>
          <w:sz w:val="32"/>
          <w:szCs w:val="32"/>
        </w:rPr>
        <w:t>.</w:t>
      </w:r>
    </w:p>
    <w:p w:rsidR="00F515AE" w:rsidRPr="00F515AE" w:rsidRDefault="00F515AE" w:rsidP="00F515AE">
      <w:pPr>
        <w:rPr>
          <w:sz w:val="32"/>
          <w:szCs w:val="32"/>
        </w:rPr>
      </w:pPr>
      <w:bookmarkStart w:id="11" w:name="Anchor117"/>
      <w:bookmarkEnd w:id="11"/>
      <w:r w:rsidRPr="00F515AE">
        <w:rPr>
          <w:sz w:val="32"/>
          <w:szCs w:val="32"/>
          <w:rtl/>
        </w:rPr>
        <w:t xml:space="preserve">وحيث أن النيابة العامة تنعى على الحكم المطعون فيه أنه إذ دان المطعون ضده بجريمة الضرب المفضي إلى أذى بليغ وآلام بدنية شديدة وعلى نحو محسوس قد شابه البطلان، والخطأ في تطبيق القانون، والقصور في التسبيب والفساد في </w:t>
      </w:r>
      <w:r w:rsidRPr="00F515AE">
        <w:rPr>
          <w:sz w:val="32"/>
          <w:szCs w:val="32"/>
          <w:rtl/>
        </w:rPr>
        <w:lastRenderedPageBreak/>
        <w:t>الإستدلال، ذلك أن المحكمة عدلت القيد والوصف دون أن تنبه الحضور ودون سماع رأي النيابة العامة في هذا الخصوص، واستبعدت قصد القتل لدى المطعون ضده بما لا يصلح لشواهد عددتها، مما يعيب الحكم ويستوجب تمييزه</w:t>
      </w:r>
      <w:r w:rsidRPr="00F515AE">
        <w:rPr>
          <w:sz w:val="32"/>
          <w:szCs w:val="32"/>
        </w:rPr>
        <w:t>,</w:t>
      </w:r>
    </w:p>
    <w:p w:rsidR="00F515AE" w:rsidRPr="00F515AE" w:rsidRDefault="00F515AE" w:rsidP="00F515AE">
      <w:pPr>
        <w:rPr>
          <w:sz w:val="32"/>
          <w:szCs w:val="32"/>
        </w:rPr>
      </w:pPr>
      <w:bookmarkStart w:id="12" w:name="Anchor157"/>
      <w:bookmarkEnd w:id="12"/>
      <w:r w:rsidRPr="00F515AE">
        <w:rPr>
          <w:sz w:val="32"/>
          <w:szCs w:val="32"/>
          <w:rtl/>
        </w:rPr>
        <w:t xml:space="preserve">من حيث أنه من المقرر </w:t>
      </w:r>
      <w:bookmarkStart w:id="13" w:name="TM2014_470_1"/>
      <w:bookmarkEnd w:id="13"/>
      <w:r w:rsidRPr="00F515AE">
        <w:rPr>
          <w:b/>
          <w:bCs/>
          <w:sz w:val="32"/>
          <w:szCs w:val="32"/>
          <w:rtl/>
        </w:rPr>
        <w:t xml:space="preserve">أن الإستئناف يعيد طرح الواقعة برمتها على محكمة ثاني درجة فيكون لها أن تعطي الوقائع التي سبق طرحها على محكمة أول درجة وصفها القانوني الصحيح دون أن تتقيد بوصف النيابة العامة لها ما دامت لم توجه إلى المتهم أفعالاً جديدة، </w:t>
      </w:r>
      <w:r w:rsidRPr="00F515AE">
        <w:rPr>
          <w:sz w:val="32"/>
          <w:szCs w:val="32"/>
          <w:rtl/>
        </w:rPr>
        <w:t xml:space="preserve">وكانت الواقعة المادية التي اتخذتها أساساً للوصف الجديد هي بذاتها الواقعة المسندة إلى المتهم والتي كانت مطروحة بالجلسة ودارت عليها المرافعة، ولها وهي بصدد بحث الواقعة المرفوعة بها الدعوى أن تغير وصف التهمة بعد استبعاد مالم يثبت من العناصر المكونة للواقعة التي أقيمت بها الدعوى، لما كان ذلك، وكانت النيابة العامة أقامت الدعوى الجزائية قبل المطعون ضده عن جناية الشروع في القتل العمل إلا أن محكمة الإستئنافية قد غيرت الوصف القانوني للواقعة ، واعتبرتها ضرب أفضى إلى أذى بليغ وآلام بدنية شديدة وعلى نحو محسوس، ودانت المطعون ضده على هذا الأساس </w:t>
      </w:r>
      <w:r w:rsidRPr="00F515AE">
        <w:rPr>
          <w:sz w:val="32"/>
          <w:szCs w:val="32"/>
        </w:rPr>
        <w:t xml:space="preserve">- </w:t>
      </w:r>
      <w:r w:rsidRPr="00F515AE">
        <w:rPr>
          <w:sz w:val="32"/>
          <w:szCs w:val="32"/>
          <w:rtl/>
        </w:rPr>
        <w:t>لإنتفاء نية القتل دون أن تضيف إليها شيئاً بزيادة بعض الوقائع إليها، أو تغيير بعض عناصرها أو إدخال متهم أو متهمين آخرين، ومن ثم فلا تثريب على المحكمة الإستئنافية إن هي لم تنبه الخصوم لهذا التعديل، ولا تكون قد أخطأت في تطبيق القانون أو شاب حكمها البطلان، ومن ثم فإن ما تنعيه النيابة العامة في هذا الصدد يكون غير سديد</w:t>
      </w:r>
      <w:r w:rsidRPr="00F515AE">
        <w:rPr>
          <w:sz w:val="32"/>
          <w:szCs w:val="32"/>
        </w:rPr>
        <w:t>.</w:t>
      </w:r>
    </w:p>
    <w:p w:rsidR="00F515AE" w:rsidRPr="00F515AE" w:rsidRDefault="00F515AE" w:rsidP="00F515AE">
      <w:pPr>
        <w:rPr>
          <w:sz w:val="32"/>
          <w:szCs w:val="32"/>
        </w:rPr>
      </w:pPr>
      <w:bookmarkStart w:id="14" w:name="Anchor262"/>
      <w:bookmarkEnd w:id="14"/>
      <w:r w:rsidRPr="00F515AE">
        <w:rPr>
          <w:sz w:val="32"/>
          <w:szCs w:val="32"/>
          <w:rtl/>
        </w:rPr>
        <w:t xml:space="preserve">لما كان ذلك، وكان البين من الأوراق أن الدعوى الجزائية رفعت على المطعون ضده بوصف الشروع في القتل العمد، وبعد أن أحال الحكم المطعون فيه في بيان واقعة الدعوى إلى الحكم الإبتدائي إنتهى في قضائه على عدم توافر نية القتل في حق المطعون ضده ودانه بجريمة الضرب المفضي إلى أذى وآلام بدنية شديدة وعلى نحو محسوس وعاقبه بالمادتين 160، 161 من قانون الجزاء، وإذ عرض الحكم المطعون فيه لنفي توافر نية القتل في حق المطعون ضده نافياً أياها عنه تأسيساً على أن ما استند إليه الحكم الإبتدائي في توافره من قيام المطعون ضده بإستعمال سلاح قاتل بطبيعته في إحداث إصابة المجني عليهما في موضع خطر من جسديهما لا يقطع بتوافر نية إزهاق الروح ولا يفيد سوى الحديث عن الأفعال المادية التي قارفها المطعون ضده، كما أن المحكمة لا تطمئن لما أسنده المجنى عليه الأول بأقواله بالتحقيقات إلى المطعون ضده من إقرار الأخير له بأنه سوف يقوم بقتله، وأن الواقعة لا تعدو أن تكون مجرد مشادة ومشاجرة بين طرفيها لم يثبت فيها موالاة المطعون ضده الإعتداء على المجنى عليهما، لما كان ذلك، وكان من المقرر </w:t>
      </w:r>
      <w:bookmarkStart w:id="15" w:name="TM2014_470_2"/>
      <w:bookmarkEnd w:id="15"/>
      <w:r w:rsidRPr="00F515AE">
        <w:rPr>
          <w:b/>
          <w:bCs/>
          <w:sz w:val="32"/>
          <w:szCs w:val="32"/>
          <w:rtl/>
        </w:rPr>
        <w:t>أن البحث في توافر نية القتل لدى الجاني أو عدم توافرها هو مما يدخل في سلطة قاضى الموضوع حسبما يستخلصه من وقائع الدعوى وظروفها ما دام موجب هذه الظروف وتلك الوقائع لا يتنافر عقلاً مع ما إنتهى إليه،</w:t>
      </w:r>
      <w:r w:rsidRPr="00F515AE">
        <w:rPr>
          <w:sz w:val="32"/>
          <w:szCs w:val="32"/>
          <w:rtl/>
        </w:rPr>
        <w:t xml:space="preserve"> وأن قيام الجاني بطعن المجنى عليهما طعنتين كلاً بصدره لا ينبئ بذاته على أنه قد انتوى قتلهما وإزهاق روحهما أو يفيد ذلك حتماً ما لم تقم هذه النية بنفس الجاني حقيقة وتكشف عنها الإمارات والمظاهر الخارجية التي تدل عليها، وكانت محكمة الإستئناف قد استخلصت في استدلال كاف وسائغ </w:t>
      </w:r>
      <w:r w:rsidRPr="00F515AE">
        <w:rPr>
          <w:sz w:val="32"/>
          <w:szCs w:val="32"/>
        </w:rPr>
        <w:t xml:space="preserve">– </w:t>
      </w:r>
      <w:r w:rsidRPr="00F515AE">
        <w:rPr>
          <w:sz w:val="32"/>
          <w:szCs w:val="32"/>
          <w:rtl/>
        </w:rPr>
        <w:t xml:space="preserve">على النحو المار بيانه </w:t>
      </w:r>
      <w:r w:rsidRPr="00F515AE">
        <w:rPr>
          <w:sz w:val="32"/>
          <w:szCs w:val="32"/>
        </w:rPr>
        <w:t xml:space="preserve">– </w:t>
      </w:r>
      <w:r w:rsidRPr="00F515AE">
        <w:rPr>
          <w:sz w:val="32"/>
          <w:szCs w:val="32"/>
          <w:rtl/>
        </w:rPr>
        <w:t>أن المطعون ضده لم يكن ينتوي قتل المجني عليهما وإزهاق روحهما أثناء المشاجرة وإنما قصد من ذلك مجرد الإعتداء عليهما، فإنها تكون قد فصلت في مسألة موضوعية لا رقابة لمحكمة التمييز عليها، ويضحى ما تسوقه النيابة العامة من شواهد على توافر قصد القتل والقول بإمكان توافره من قبيل الجدل الموضوعي في سلطة محكمة الموضوع في وزن عناصر الدعوى واستنباط معتقدها مما لا يجوز إثارته أمام محكمة التمييز، ومن ثم فإن الطعن في هذا الشق يكون على غير أساس</w:t>
      </w:r>
      <w:r w:rsidRPr="00F515AE">
        <w:rPr>
          <w:sz w:val="32"/>
          <w:szCs w:val="32"/>
        </w:rPr>
        <w:t>.</w:t>
      </w:r>
    </w:p>
    <w:p w:rsidR="00F515AE" w:rsidRPr="00F515AE" w:rsidRDefault="00F515AE" w:rsidP="00F515AE">
      <w:pPr>
        <w:rPr>
          <w:sz w:val="32"/>
          <w:szCs w:val="32"/>
        </w:rPr>
      </w:pPr>
      <w:bookmarkStart w:id="16" w:name="Anchor440"/>
      <w:bookmarkEnd w:id="16"/>
      <w:r w:rsidRPr="00F515AE">
        <w:rPr>
          <w:sz w:val="32"/>
          <w:szCs w:val="32"/>
          <w:rtl/>
        </w:rPr>
        <w:t>لما كان ما تقدم، فإن الطعن برمته يكون على غير أساس متعيناً رفضه موضوعاً</w:t>
      </w:r>
      <w:r w:rsidRPr="00F515AE">
        <w:rPr>
          <w:sz w:val="32"/>
          <w:szCs w:val="32"/>
        </w:rPr>
        <w:t>.</w:t>
      </w:r>
    </w:p>
    <w:p w:rsidR="00F515AE" w:rsidRPr="00F515AE" w:rsidRDefault="00F515AE" w:rsidP="00F515AE">
      <w:pPr>
        <w:rPr>
          <w:sz w:val="32"/>
          <w:szCs w:val="32"/>
        </w:rPr>
      </w:pPr>
      <w:bookmarkStart w:id="17" w:name="Anchor447"/>
      <w:bookmarkEnd w:id="17"/>
      <w:r w:rsidRPr="00F515AE">
        <w:rPr>
          <w:sz w:val="32"/>
          <w:szCs w:val="32"/>
          <w:rtl/>
        </w:rPr>
        <w:t>فلهذه الأسباب</w:t>
      </w:r>
    </w:p>
    <w:p w:rsidR="00F515AE" w:rsidRPr="00F515AE" w:rsidRDefault="00F515AE" w:rsidP="00F515AE">
      <w:pPr>
        <w:rPr>
          <w:sz w:val="32"/>
          <w:szCs w:val="32"/>
        </w:rPr>
      </w:pPr>
      <w:bookmarkStart w:id="18" w:name="Anchor449"/>
      <w:bookmarkEnd w:id="18"/>
      <w:r w:rsidRPr="00F515AE">
        <w:rPr>
          <w:sz w:val="32"/>
          <w:szCs w:val="32"/>
          <w:rtl/>
        </w:rPr>
        <w:t>حكمت المحكمة</w:t>
      </w:r>
      <w:r w:rsidRPr="00F515AE">
        <w:rPr>
          <w:sz w:val="32"/>
          <w:szCs w:val="32"/>
        </w:rPr>
        <w:t xml:space="preserve">:- </w:t>
      </w:r>
    </w:p>
    <w:p w:rsidR="00F515AE" w:rsidRPr="00F515AE" w:rsidRDefault="00F515AE" w:rsidP="00F515AE">
      <w:pPr>
        <w:rPr>
          <w:sz w:val="32"/>
          <w:szCs w:val="32"/>
        </w:rPr>
      </w:pPr>
      <w:bookmarkStart w:id="19" w:name="Anchor452"/>
      <w:bookmarkEnd w:id="19"/>
      <w:r w:rsidRPr="00F515AE">
        <w:rPr>
          <w:sz w:val="32"/>
          <w:szCs w:val="32"/>
          <w:rtl/>
        </w:rPr>
        <w:t>أولاً</w:t>
      </w:r>
      <w:r w:rsidRPr="00F515AE">
        <w:rPr>
          <w:sz w:val="32"/>
          <w:szCs w:val="32"/>
        </w:rPr>
        <w:t xml:space="preserve">: </w:t>
      </w:r>
      <w:r w:rsidRPr="00F515AE">
        <w:rPr>
          <w:sz w:val="32"/>
          <w:szCs w:val="32"/>
          <w:rtl/>
        </w:rPr>
        <w:t>بعدم قبول الطعن المرفوع من المحكوم عليه ناصر عبدالعزيز محمد عبدالعزيز السعدان شكلاً</w:t>
      </w:r>
      <w:r w:rsidRPr="00F515AE">
        <w:rPr>
          <w:sz w:val="32"/>
          <w:szCs w:val="32"/>
        </w:rPr>
        <w:t>.</w:t>
      </w:r>
    </w:p>
    <w:p w:rsidR="00F515AE" w:rsidRPr="00F515AE" w:rsidRDefault="00F515AE" w:rsidP="00F515AE">
      <w:pPr>
        <w:rPr>
          <w:sz w:val="32"/>
          <w:szCs w:val="32"/>
        </w:rPr>
      </w:pPr>
      <w:bookmarkStart w:id="20" w:name="Anchor463"/>
      <w:bookmarkEnd w:id="20"/>
      <w:r w:rsidRPr="00F515AE">
        <w:rPr>
          <w:sz w:val="32"/>
          <w:szCs w:val="32"/>
          <w:rtl/>
        </w:rPr>
        <w:t>ثانياً</w:t>
      </w:r>
      <w:r w:rsidRPr="00F515AE">
        <w:rPr>
          <w:sz w:val="32"/>
          <w:szCs w:val="32"/>
        </w:rPr>
        <w:t xml:space="preserve">: </w:t>
      </w:r>
      <w:r w:rsidRPr="00F515AE">
        <w:rPr>
          <w:sz w:val="32"/>
          <w:szCs w:val="32"/>
          <w:rtl/>
        </w:rPr>
        <w:t>بقبول طعن النيابة العامة شكلاً، وفي الموضوع برفضه</w:t>
      </w:r>
      <w:r w:rsidRPr="00F515AE">
        <w:rPr>
          <w:sz w:val="32"/>
          <w:szCs w:val="32"/>
        </w:rPr>
        <w:t>.</w:t>
      </w:r>
    </w:p>
    <w:p w:rsidR="00F515AE" w:rsidRPr="00F515AE" w:rsidRDefault="00F515AE" w:rsidP="00F515AE">
      <w:pPr>
        <w:rPr>
          <w:sz w:val="32"/>
          <w:szCs w:val="32"/>
        </w:rPr>
      </w:pPr>
    </w:p>
    <w:p w:rsidR="00F515AE" w:rsidRPr="00F515AE" w:rsidRDefault="00F515AE" w:rsidP="00F515AE">
      <w:pPr>
        <w:rPr>
          <w:sz w:val="32"/>
          <w:szCs w:val="32"/>
        </w:rPr>
      </w:pPr>
      <w:bookmarkStart w:id="21" w:name="Anchor470"/>
      <w:bookmarkEnd w:id="21"/>
      <w:r w:rsidRPr="00F515AE">
        <w:rPr>
          <w:sz w:val="32"/>
          <w:szCs w:val="32"/>
        </w:rPr>
        <w:t>* * *</w:t>
      </w:r>
    </w:p>
    <w:p w:rsidR="00F65C94" w:rsidRPr="00F515AE" w:rsidRDefault="00F65C94">
      <w:pPr>
        <w:rPr>
          <w:sz w:val="32"/>
          <w:szCs w:val="32"/>
        </w:rPr>
      </w:pPr>
    </w:p>
    <w:sectPr w:rsidR="00F65C94" w:rsidRPr="00F515A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00"/>
    <w:rsid w:val="0003272B"/>
    <w:rsid w:val="00A04E00"/>
    <w:rsid w:val="00F515AE"/>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5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594">
      <w:bodyDiv w:val="1"/>
      <w:marLeft w:val="0"/>
      <w:marRight w:val="0"/>
      <w:marTop w:val="0"/>
      <w:marBottom w:val="0"/>
      <w:divBdr>
        <w:top w:val="none" w:sz="0" w:space="0" w:color="auto"/>
        <w:left w:val="none" w:sz="0" w:space="0" w:color="auto"/>
        <w:bottom w:val="none" w:sz="0" w:space="0" w:color="auto"/>
        <w:right w:val="none" w:sz="0" w:space="0" w:color="auto"/>
      </w:divBdr>
      <w:divsChild>
        <w:div w:id="1954093752">
          <w:marLeft w:val="0"/>
          <w:marRight w:val="0"/>
          <w:marTop w:val="0"/>
          <w:marBottom w:val="0"/>
          <w:divBdr>
            <w:top w:val="none" w:sz="0" w:space="0" w:color="auto"/>
            <w:left w:val="none" w:sz="0" w:space="0" w:color="auto"/>
            <w:bottom w:val="none" w:sz="0" w:space="0" w:color="auto"/>
            <w:right w:val="none" w:sz="0" w:space="0" w:color="auto"/>
          </w:divBdr>
        </w:div>
        <w:div w:id="92819490">
          <w:marLeft w:val="0"/>
          <w:marRight w:val="0"/>
          <w:marTop w:val="0"/>
          <w:marBottom w:val="0"/>
          <w:divBdr>
            <w:top w:val="none" w:sz="0" w:space="0" w:color="auto"/>
            <w:left w:val="none" w:sz="0" w:space="0" w:color="auto"/>
            <w:bottom w:val="none" w:sz="0" w:space="0" w:color="auto"/>
            <w:right w:val="none" w:sz="0" w:space="0" w:color="auto"/>
          </w:divBdr>
        </w:div>
        <w:div w:id="1281886046">
          <w:marLeft w:val="0"/>
          <w:marRight w:val="0"/>
          <w:marTop w:val="0"/>
          <w:marBottom w:val="0"/>
          <w:divBdr>
            <w:top w:val="none" w:sz="0" w:space="0" w:color="auto"/>
            <w:left w:val="none" w:sz="0" w:space="0" w:color="auto"/>
            <w:bottom w:val="none" w:sz="0" w:space="0" w:color="auto"/>
            <w:right w:val="none" w:sz="0" w:space="0" w:color="auto"/>
          </w:divBdr>
        </w:div>
        <w:div w:id="565997574">
          <w:marLeft w:val="0"/>
          <w:marRight w:val="0"/>
          <w:marTop w:val="0"/>
          <w:marBottom w:val="0"/>
          <w:divBdr>
            <w:top w:val="none" w:sz="0" w:space="0" w:color="auto"/>
            <w:left w:val="none" w:sz="0" w:space="0" w:color="auto"/>
            <w:bottom w:val="none" w:sz="0" w:space="0" w:color="auto"/>
            <w:right w:val="none" w:sz="0" w:space="0" w:color="auto"/>
          </w:divBdr>
        </w:div>
        <w:div w:id="1318920405">
          <w:marLeft w:val="0"/>
          <w:marRight w:val="0"/>
          <w:marTop w:val="0"/>
          <w:marBottom w:val="0"/>
          <w:divBdr>
            <w:top w:val="none" w:sz="0" w:space="0" w:color="auto"/>
            <w:left w:val="none" w:sz="0" w:space="0" w:color="auto"/>
            <w:bottom w:val="none" w:sz="0" w:space="0" w:color="auto"/>
            <w:right w:val="none" w:sz="0" w:space="0" w:color="auto"/>
          </w:divBdr>
        </w:div>
        <w:div w:id="704712869">
          <w:marLeft w:val="0"/>
          <w:marRight w:val="0"/>
          <w:marTop w:val="0"/>
          <w:marBottom w:val="0"/>
          <w:divBdr>
            <w:top w:val="none" w:sz="0" w:space="0" w:color="auto"/>
            <w:left w:val="none" w:sz="0" w:space="0" w:color="auto"/>
            <w:bottom w:val="none" w:sz="0" w:space="0" w:color="auto"/>
            <w:right w:val="none" w:sz="0" w:space="0" w:color="auto"/>
          </w:divBdr>
        </w:div>
        <w:div w:id="689379351">
          <w:marLeft w:val="0"/>
          <w:marRight w:val="0"/>
          <w:marTop w:val="0"/>
          <w:marBottom w:val="0"/>
          <w:divBdr>
            <w:top w:val="none" w:sz="0" w:space="0" w:color="auto"/>
            <w:left w:val="none" w:sz="0" w:space="0" w:color="auto"/>
            <w:bottom w:val="none" w:sz="0" w:space="0" w:color="auto"/>
            <w:right w:val="none" w:sz="0" w:space="0" w:color="auto"/>
          </w:divBdr>
        </w:div>
        <w:div w:id="825515249">
          <w:marLeft w:val="0"/>
          <w:marRight w:val="0"/>
          <w:marTop w:val="0"/>
          <w:marBottom w:val="0"/>
          <w:divBdr>
            <w:top w:val="none" w:sz="0" w:space="0" w:color="auto"/>
            <w:left w:val="none" w:sz="0" w:space="0" w:color="auto"/>
            <w:bottom w:val="none" w:sz="0" w:space="0" w:color="auto"/>
            <w:right w:val="none" w:sz="0" w:space="0" w:color="auto"/>
          </w:divBdr>
        </w:div>
        <w:div w:id="901062637">
          <w:marLeft w:val="0"/>
          <w:marRight w:val="0"/>
          <w:marTop w:val="0"/>
          <w:marBottom w:val="0"/>
          <w:divBdr>
            <w:top w:val="none" w:sz="0" w:space="0" w:color="auto"/>
            <w:left w:val="none" w:sz="0" w:space="0" w:color="auto"/>
            <w:bottom w:val="none" w:sz="0" w:space="0" w:color="auto"/>
            <w:right w:val="none" w:sz="0" w:space="0" w:color="auto"/>
          </w:divBdr>
        </w:div>
        <w:div w:id="1311518397">
          <w:marLeft w:val="0"/>
          <w:marRight w:val="0"/>
          <w:marTop w:val="0"/>
          <w:marBottom w:val="0"/>
          <w:divBdr>
            <w:top w:val="none" w:sz="0" w:space="0" w:color="auto"/>
            <w:left w:val="none" w:sz="0" w:space="0" w:color="auto"/>
            <w:bottom w:val="none" w:sz="0" w:space="0" w:color="auto"/>
            <w:right w:val="none" w:sz="0" w:space="0" w:color="auto"/>
          </w:divBdr>
        </w:div>
        <w:div w:id="619456926">
          <w:marLeft w:val="0"/>
          <w:marRight w:val="0"/>
          <w:marTop w:val="0"/>
          <w:marBottom w:val="0"/>
          <w:divBdr>
            <w:top w:val="none" w:sz="0" w:space="0" w:color="auto"/>
            <w:left w:val="none" w:sz="0" w:space="0" w:color="auto"/>
            <w:bottom w:val="none" w:sz="0" w:space="0" w:color="auto"/>
            <w:right w:val="none" w:sz="0" w:space="0" w:color="auto"/>
          </w:divBdr>
        </w:div>
        <w:div w:id="364908422">
          <w:marLeft w:val="0"/>
          <w:marRight w:val="0"/>
          <w:marTop w:val="0"/>
          <w:marBottom w:val="0"/>
          <w:divBdr>
            <w:top w:val="none" w:sz="0" w:space="0" w:color="auto"/>
            <w:left w:val="none" w:sz="0" w:space="0" w:color="auto"/>
            <w:bottom w:val="none" w:sz="0" w:space="0" w:color="auto"/>
            <w:right w:val="none" w:sz="0" w:space="0" w:color="auto"/>
          </w:divBdr>
        </w:div>
        <w:div w:id="250630588">
          <w:marLeft w:val="0"/>
          <w:marRight w:val="0"/>
          <w:marTop w:val="0"/>
          <w:marBottom w:val="0"/>
          <w:divBdr>
            <w:top w:val="none" w:sz="0" w:space="0" w:color="auto"/>
            <w:left w:val="none" w:sz="0" w:space="0" w:color="auto"/>
            <w:bottom w:val="none" w:sz="0" w:space="0" w:color="auto"/>
            <w:right w:val="none" w:sz="0" w:space="0" w:color="auto"/>
          </w:divBdr>
        </w:div>
        <w:div w:id="871266300">
          <w:marLeft w:val="0"/>
          <w:marRight w:val="0"/>
          <w:marTop w:val="0"/>
          <w:marBottom w:val="0"/>
          <w:divBdr>
            <w:top w:val="none" w:sz="0" w:space="0" w:color="auto"/>
            <w:left w:val="none" w:sz="0" w:space="0" w:color="auto"/>
            <w:bottom w:val="none" w:sz="0" w:space="0" w:color="auto"/>
            <w:right w:val="none" w:sz="0" w:space="0" w:color="auto"/>
          </w:divBdr>
        </w:div>
        <w:div w:id="888540547">
          <w:marLeft w:val="0"/>
          <w:marRight w:val="0"/>
          <w:marTop w:val="0"/>
          <w:marBottom w:val="0"/>
          <w:divBdr>
            <w:top w:val="none" w:sz="0" w:space="0" w:color="auto"/>
            <w:left w:val="none" w:sz="0" w:space="0" w:color="auto"/>
            <w:bottom w:val="none" w:sz="0" w:space="0" w:color="auto"/>
            <w:right w:val="none" w:sz="0" w:space="0" w:color="auto"/>
          </w:divBdr>
        </w:div>
        <w:div w:id="1930192101">
          <w:marLeft w:val="0"/>
          <w:marRight w:val="0"/>
          <w:marTop w:val="0"/>
          <w:marBottom w:val="0"/>
          <w:divBdr>
            <w:top w:val="none" w:sz="0" w:space="0" w:color="auto"/>
            <w:left w:val="none" w:sz="0" w:space="0" w:color="auto"/>
            <w:bottom w:val="none" w:sz="0" w:space="0" w:color="auto"/>
            <w:right w:val="none" w:sz="0" w:space="0" w:color="auto"/>
          </w:divBdr>
        </w:div>
        <w:div w:id="979581543">
          <w:marLeft w:val="0"/>
          <w:marRight w:val="0"/>
          <w:marTop w:val="0"/>
          <w:marBottom w:val="0"/>
          <w:divBdr>
            <w:top w:val="none" w:sz="0" w:space="0" w:color="auto"/>
            <w:left w:val="none" w:sz="0" w:space="0" w:color="auto"/>
            <w:bottom w:val="none" w:sz="0" w:space="0" w:color="auto"/>
            <w:right w:val="none" w:sz="0" w:space="0" w:color="auto"/>
          </w:divBdr>
        </w:div>
        <w:div w:id="244649425">
          <w:marLeft w:val="0"/>
          <w:marRight w:val="0"/>
          <w:marTop w:val="0"/>
          <w:marBottom w:val="0"/>
          <w:divBdr>
            <w:top w:val="none" w:sz="0" w:space="0" w:color="auto"/>
            <w:left w:val="none" w:sz="0" w:space="0" w:color="auto"/>
            <w:bottom w:val="none" w:sz="0" w:space="0" w:color="auto"/>
            <w:right w:val="none" w:sz="0" w:space="0" w:color="auto"/>
          </w:divBdr>
        </w:div>
        <w:div w:id="82189240">
          <w:marLeft w:val="0"/>
          <w:marRight w:val="0"/>
          <w:marTop w:val="0"/>
          <w:marBottom w:val="0"/>
          <w:divBdr>
            <w:top w:val="none" w:sz="0" w:space="0" w:color="auto"/>
            <w:left w:val="none" w:sz="0" w:space="0" w:color="auto"/>
            <w:bottom w:val="none" w:sz="0" w:space="0" w:color="auto"/>
            <w:right w:val="none" w:sz="0" w:space="0" w:color="auto"/>
          </w:divBdr>
        </w:div>
      </w:divsChild>
    </w:div>
    <w:div w:id="1465931707">
      <w:bodyDiv w:val="1"/>
      <w:marLeft w:val="0"/>
      <w:marRight w:val="0"/>
      <w:marTop w:val="0"/>
      <w:marBottom w:val="0"/>
      <w:divBdr>
        <w:top w:val="none" w:sz="0" w:space="0" w:color="auto"/>
        <w:left w:val="none" w:sz="0" w:space="0" w:color="auto"/>
        <w:bottom w:val="none" w:sz="0" w:space="0" w:color="auto"/>
        <w:right w:val="none" w:sz="0" w:space="0" w:color="auto"/>
      </w:divBdr>
      <w:divsChild>
        <w:div w:id="1436899412">
          <w:marLeft w:val="0"/>
          <w:marRight w:val="0"/>
          <w:marTop w:val="0"/>
          <w:marBottom w:val="0"/>
          <w:divBdr>
            <w:top w:val="none" w:sz="0" w:space="0" w:color="auto"/>
            <w:left w:val="none" w:sz="0" w:space="0" w:color="auto"/>
            <w:bottom w:val="none" w:sz="0" w:space="0" w:color="auto"/>
            <w:right w:val="none" w:sz="0" w:space="0" w:color="auto"/>
          </w:divBdr>
        </w:div>
        <w:div w:id="565605604">
          <w:marLeft w:val="0"/>
          <w:marRight w:val="0"/>
          <w:marTop w:val="0"/>
          <w:marBottom w:val="0"/>
          <w:divBdr>
            <w:top w:val="none" w:sz="0" w:space="0" w:color="auto"/>
            <w:left w:val="none" w:sz="0" w:space="0" w:color="auto"/>
            <w:bottom w:val="none" w:sz="0" w:space="0" w:color="auto"/>
            <w:right w:val="none" w:sz="0" w:space="0" w:color="auto"/>
          </w:divBdr>
        </w:div>
        <w:div w:id="154691926">
          <w:marLeft w:val="0"/>
          <w:marRight w:val="0"/>
          <w:marTop w:val="0"/>
          <w:marBottom w:val="0"/>
          <w:divBdr>
            <w:top w:val="none" w:sz="0" w:space="0" w:color="auto"/>
            <w:left w:val="none" w:sz="0" w:space="0" w:color="auto"/>
            <w:bottom w:val="none" w:sz="0" w:space="0" w:color="auto"/>
            <w:right w:val="none" w:sz="0" w:space="0" w:color="auto"/>
          </w:divBdr>
        </w:div>
        <w:div w:id="779182492">
          <w:marLeft w:val="0"/>
          <w:marRight w:val="0"/>
          <w:marTop w:val="0"/>
          <w:marBottom w:val="0"/>
          <w:divBdr>
            <w:top w:val="none" w:sz="0" w:space="0" w:color="auto"/>
            <w:left w:val="none" w:sz="0" w:space="0" w:color="auto"/>
            <w:bottom w:val="none" w:sz="0" w:space="0" w:color="auto"/>
            <w:right w:val="none" w:sz="0" w:space="0" w:color="auto"/>
          </w:divBdr>
        </w:div>
        <w:div w:id="1105881626">
          <w:marLeft w:val="0"/>
          <w:marRight w:val="0"/>
          <w:marTop w:val="0"/>
          <w:marBottom w:val="0"/>
          <w:divBdr>
            <w:top w:val="none" w:sz="0" w:space="0" w:color="auto"/>
            <w:left w:val="none" w:sz="0" w:space="0" w:color="auto"/>
            <w:bottom w:val="none" w:sz="0" w:space="0" w:color="auto"/>
            <w:right w:val="none" w:sz="0" w:space="0" w:color="auto"/>
          </w:divBdr>
        </w:div>
        <w:div w:id="514349632">
          <w:marLeft w:val="0"/>
          <w:marRight w:val="0"/>
          <w:marTop w:val="0"/>
          <w:marBottom w:val="0"/>
          <w:divBdr>
            <w:top w:val="none" w:sz="0" w:space="0" w:color="auto"/>
            <w:left w:val="none" w:sz="0" w:space="0" w:color="auto"/>
            <w:bottom w:val="none" w:sz="0" w:space="0" w:color="auto"/>
            <w:right w:val="none" w:sz="0" w:space="0" w:color="auto"/>
          </w:divBdr>
        </w:div>
        <w:div w:id="2036926709">
          <w:marLeft w:val="0"/>
          <w:marRight w:val="0"/>
          <w:marTop w:val="0"/>
          <w:marBottom w:val="0"/>
          <w:divBdr>
            <w:top w:val="none" w:sz="0" w:space="0" w:color="auto"/>
            <w:left w:val="none" w:sz="0" w:space="0" w:color="auto"/>
            <w:bottom w:val="none" w:sz="0" w:space="0" w:color="auto"/>
            <w:right w:val="none" w:sz="0" w:space="0" w:color="auto"/>
          </w:divBdr>
        </w:div>
        <w:div w:id="958149640">
          <w:marLeft w:val="0"/>
          <w:marRight w:val="0"/>
          <w:marTop w:val="0"/>
          <w:marBottom w:val="0"/>
          <w:divBdr>
            <w:top w:val="none" w:sz="0" w:space="0" w:color="auto"/>
            <w:left w:val="none" w:sz="0" w:space="0" w:color="auto"/>
            <w:bottom w:val="none" w:sz="0" w:space="0" w:color="auto"/>
            <w:right w:val="none" w:sz="0" w:space="0" w:color="auto"/>
          </w:divBdr>
        </w:div>
        <w:div w:id="878515146">
          <w:marLeft w:val="0"/>
          <w:marRight w:val="0"/>
          <w:marTop w:val="0"/>
          <w:marBottom w:val="0"/>
          <w:divBdr>
            <w:top w:val="none" w:sz="0" w:space="0" w:color="auto"/>
            <w:left w:val="none" w:sz="0" w:space="0" w:color="auto"/>
            <w:bottom w:val="none" w:sz="0" w:space="0" w:color="auto"/>
            <w:right w:val="none" w:sz="0" w:space="0" w:color="auto"/>
          </w:divBdr>
        </w:div>
        <w:div w:id="868450203">
          <w:marLeft w:val="0"/>
          <w:marRight w:val="0"/>
          <w:marTop w:val="0"/>
          <w:marBottom w:val="0"/>
          <w:divBdr>
            <w:top w:val="none" w:sz="0" w:space="0" w:color="auto"/>
            <w:left w:val="none" w:sz="0" w:space="0" w:color="auto"/>
            <w:bottom w:val="none" w:sz="0" w:space="0" w:color="auto"/>
            <w:right w:val="none" w:sz="0" w:space="0" w:color="auto"/>
          </w:divBdr>
        </w:div>
        <w:div w:id="240867493">
          <w:marLeft w:val="0"/>
          <w:marRight w:val="0"/>
          <w:marTop w:val="0"/>
          <w:marBottom w:val="0"/>
          <w:divBdr>
            <w:top w:val="none" w:sz="0" w:space="0" w:color="auto"/>
            <w:left w:val="none" w:sz="0" w:space="0" w:color="auto"/>
            <w:bottom w:val="none" w:sz="0" w:space="0" w:color="auto"/>
            <w:right w:val="none" w:sz="0" w:space="0" w:color="auto"/>
          </w:divBdr>
        </w:div>
        <w:div w:id="1664551142">
          <w:marLeft w:val="0"/>
          <w:marRight w:val="0"/>
          <w:marTop w:val="0"/>
          <w:marBottom w:val="0"/>
          <w:divBdr>
            <w:top w:val="none" w:sz="0" w:space="0" w:color="auto"/>
            <w:left w:val="none" w:sz="0" w:space="0" w:color="auto"/>
            <w:bottom w:val="none" w:sz="0" w:space="0" w:color="auto"/>
            <w:right w:val="none" w:sz="0" w:space="0" w:color="auto"/>
          </w:divBdr>
        </w:div>
        <w:div w:id="1569149972">
          <w:marLeft w:val="0"/>
          <w:marRight w:val="0"/>
          <w:marTop w:val="0"/>
          <w:marBottom w:val="0"/>
          <w:divBdr>
            <w:top w:val="none" w:sz="0" w:space="0" w:color="auto"/>
            <w:left w:val="none" w:sz="0" w:space="0" w:color="auto"/>
            <w:bottom w:val="none" w:sz="0" w:space="0" w:color="auto"/>
            <w:right w:val="none" w:sz="0" w:space="0" w:color="auto"/>
          </w:divBdr>
        </w:div>
        <w:div w:id="291836616">
          <w:marLeft w:val="0"/>
          <w:marRight w:val="0"/>
          <w:marTop w:val="0"/>
          <w:marBottom w:val="0"/>
          <w:divBdr>
            <w:top w:val="none" w:sz="0" w:space="0" w:color="auto"/>
            <w:left w:val="none" w:sz="0" w:space="0" w:color="auto"/>
            <w:bottom w:val="none" w:sz="0" w:space="0" w:color="auto"/>
            <w:right w:val="none" w:sz="0" w:space="0" w:color="auto"/>
          </w:divBdr>
        </w:div>
        <w:div w:id="34428752">
          <w:marLeft w:val="0"/>
          <w:marRight w:val="0"/>
          <w:marTop w:val="0"/>
          <w:marBottom w:val="0"/>
          <w:divBdr>
            <w:top w:val="none" w:sz="0" w:space="0" w:color="auto"/>
            <w:left w:val="none" w:sz="0" w:space="0" w:color="auto"/>
            <w:bottom w:val="none" w:sz="0" w:space="0" w:color="auto"/>
            <w:right w:val="none" w:sz="0" w:space="0" w:color="auto"/>
          </w:divBdr>
        </w:div>
        <w:div w:id="1234318492">
          <w:marLeft w:val="0"/>
          <w:marRight w:val="0"/>
          <w:marTop w:val="0"/>
          <w:marBottom w:val="0"/>
          <w:divBdr>
            <w:top w:val="none" w:sz="0" w:space="0" w:color="auto"/>
            <w:left w:val="none" w:sz="0" w:space="0" w:color="auto"/>
            <w:bottom w:val="none" w:sz="0" w:space="0" w:color="auto"/>
            <w:right w:val="none" w:sz="0" w:space="0" w:color="auto"/>
          </w:divBdr>
        </w:div>
        <w:div w:id="1614096458">
          <w:marLeft w:val="0"/>
          <w:marRight w:val="0"/>
          <w:marTop w:val="0"/>
          <w:marBottom w:val="0"/>
          <w:divBdr>
            <w:top w:val="none" w:sz="0" w:space="0" w:color="auto"/>
            <w:left w:val="none" w:sz="0" w:space="0" w:color="auto"/>
            <w:bottom w:val="none" w:sz="0" w:space="0" w:color="auto"/>
            <w:right w:val="none" w:sz="0" w:space="0" w:color="auto"/>
          </w:divBdr>
        </w:div>
        <w:div w:id="1062483353">
          <w:marLeft w:val="0"/>
          <w:marRight w:val="0"/>
          <w:marTop w:val="0"/>
          <w:marBottom w:val="0"/>
          <w:divBdr>
            <w:top w:val="none" w:sz="0" w:space="0" w:color="auto"/>
            <w:left w:val="none" w:sz="0" w:space="0" w:color="auto"/>
            <w:bottom w:val="none" w:sz="0" w:space="0" w:color="auto"/>
            <w:right w:val="none" w:sz="0" w:space="0" w:color="auto"/>
          </w:divBdr>
        </w:div>
        <w:div w:id="93108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2020-04-26T11:14:00Z</dcterms:created>
  <dcterms:modified xsi:type="dcterms:W3CDTF">2020-04-26T11:15:00Z</dcterms:modified>
</cp:coreProperties>
</file>