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B2" w:rsidRPr="00C948B2" w:rsidRDefault="00C948B2" w:rsidP="00C948B2">
      <w:pPr>
        <w:jc w:val="center"/>
        <w:rPr>
          <w:sz w:val="32"/>
          <w:szCs w:val="32"/>
        </w:rPr>
      </w:pPr>
      <w:bookmarkStart w:id="0" w:name="Anchor1"/>
      <w:bookmarkEnd w:id="0"/>
      <w:r w:rsidRPr="00C948B2">
        <w:rPr>
          <w:sz w:val="32"/>
          <w:szCs w:val="32"/>
          <w:rtl/>
        </w:rPr>
        <w:t>الطعن رقم 499/2</w:t>
      </w:r>
      <w:bookmarkStart w:id="1" w:name="_GoBack"/>
      <w:bookmarkEnd w:id="1"/>
      <w:r w:rsidRPr="00C948B2">
        <w:rPr>
          <w:sz w:val="32"/>
          <w:szCs w:val="32"/>
          <w:rtl/>
        </w:rPr>
        <w:t>013</w:t>
      </w:r>
    </w:p>
    <w:p w:rsidR="00C948B2" w:rsidRPr="00C948B2" w:rsidRDefault="00C948B2" w:rsidP="00C948B2">
      <w:pPr>
        <w:rPr>
          <w:sz w:val="32"/>
          <w:szCs w:val="32"/>
        </w:rPr>
      </w:pPr>
      <w:bookmarkStart w:id="2" w:name="Anchor6"/>
      <w:bookmarkEnd w:id="2"/>
      <w:r w:rsidRPr="00C948B2">
        <w:rPr>
          <w:sz w:val="32"/>
          <w:szCs w:val="32"/>
          <w:rtl/>
        </w:rPr>
        <w:t>هيئة المحكمة</w:t>
      </w:r>
      <w:r w:rsidRPr="00C948B2">
        <w:rPr>
          <w:sz w:val="32"/>
          <w:szCs w:val="32"/>
        </w:rPr>
        <w:t xml:space="preserve">: </w:t>
      </w:r>
      <w:r w:rsidRPr="00C948B2">
        <w:rPr>
          <w:sz w:val="32"/>
          <w:szCs w:val="32"/>
          <w:rtl/>
        </w:rPr>
        <w:t>برئاسة السيد المستشار صالح خليفة المريشد وكيل المحكمة وعضوية السادة المستشارين محمود دسوقي دياب وعبدالرحمن هيكل وعادل الحناوي وحسين الصعيدي</w:t>
      </w:r>
    </w:p>
    <w:bookmarkStart w:id="3" w:name="Anchor23"/>
    <w:bookmarkEnd w:id="3"/>
    <w:p w:rsidR="00C948B2" w:rsidRPr="00C948B2" w:rsidRDefault="00C948B2" w:rsidP="00C948B2">
      <w:pPr>
        <w:rPr>
          <w:sz w:val="32"/>
          <w:szCs w:val="32"/>
        </w:rPr>
      </w:pPr>
      <w:r w:rsidRPr="00C948B2">
        <w:rPr>
          <w:sz w:val="32"/>
          <w:szCs w:val="32"/>
        </w:rPr>
        <w:fldChar w:fldCharType="begin"/>
      </w:r>
      <w:r w:rsidRPr="00C948B2">
        <w:rPr>
          <w:sz w:val="32"/>
          <w:szCs w:val="32"/>
        </w:rPr>
        <w:instrText xml:space="preserve"> HYPERLINK "http://www.law.gov.kw/KWT_CC-Ar/00_2014/00_%D8%A7%D9%84%D8%AF%D8%A7%D8%A6%D8%B1%D8%A9%20%D8%A7%D9%84%D8%AC%D8%B2%D8%A7%D8%A6%D9%8A%D8%A9/KWT-CC-Ar_2014-02-16_00499_Taan.html" \l "TM2014_499_1" </w:instrText>
      </w:r>
      <w:r w:rsidRPr="00C948B2">
        <w:rPr>
          <w:sz w:val="32"/>
          <w:szCs w:val="32"/>
        </w:rPr>
        <w:fldChar w:fldCharType="separate"/>
      </w:r>
      <w:r w:rsidRPr="00C948B2">
        <w:rPr>
          <w:rStyle w:val="Hyperlink"/>
          <w:sz w:val="32"/>
          <w:szCs w:val="32"/>
        </w:rPr>
        <w:t xml:space="preserve">1- </w:t>
      </w:r>
      <w:r w:rsidRPr="00C948B2">
        <w:rPr>
          <w:rStyle w:val="Hyperlink"/>
          <w:sz w:val="32"/>
          <w:szCs w:val="32"/>
          <w:rtl/>
        </w:rPr>
        <w:t>ان تقرير الطعن بالتمييز هو مناط اتصال المحكمة به وان ايداع الأسباب التي بني عليها الطاعن في الميعاد الذي حدده القانون موقعاً عليها من محام هو شرط لقبوله</w:t>
      </w:r>
      <w:r w:rsidRPr="00C948B2">
        <w:rPr>
          <w:rStyle w:val="Hyperlink"/>
          <w:sz w:val="32"/>
          <w:szCs w:val="32"/>
        </w:rPr>
        <w:t>.</w:t>
      </w:r>
      <w:r w:rsidRPr="00C948B2">
        <w:rPr>
          <w:sz w:val="32"/>
          <w:szCs w:val="32"/>
        </w:rPr>
        <w:fldChar w:fldCharType="end"/>
      </w:r>
    </w:p>
    <w:bookmarkStart w:id="4" w:name="Anchor38"/>
    <w:bookmarkEnd w:id="4"/>
    <w:p w:rsidR="00C948B2" w:rsidRPr="00C948B2" w:rsidRDefault="00C948B2" w:rsidP="00C948B2">
      <w:pPr>
        <w:rPr>
          <w:sz w:val="32"/>
          <w:szCs w:val="32"/>
        </w:rPr>
      </w:pPr>
      <w:r w:rsidRPr="00C948B2">
        <w:rPr>
          <w:sz w:val="32"/>
          <w:szCs w:val="32"/>
        </w:rPr>
        <w:fldChar w:fldCharType="begin"/>
      </w:r>
      <w:r w:rsidRPr="00C948B2">
        <w:rPr>
          <w:sz w:val="32"/>
          <w:szCs w:val="32"/>
        </w:rPr>
        <w:instrText xml:space="preserve"> HYPERLINK "http://www.law.gov.kw/KWT_CC-Ar/00_2014/00_%D8%A7%D9%84%D8%AF%D8%A7%D8%A6%D8%B1%D8%A9%20%D8%A7%D9%84%D8%AC%D8%B2%D8%A7%D8%A6%D9%8A%D8%A9/KWT-CC-Ar_2014-02-16_00499_Taan.html" \l "TM2014_499_2" </w:instrText>
      </w:r>
      <w:r w:rsidRPr="00C948B2">
        <w:rPr>
          <w:sz w:val="32"/>
          <w:szCs w:val="32"/>
        </w:rPr>
        <w:fldChar w:fldCharType="separate"/>
      </w:r>
      <w:r w:rsidRPr="00C948B2">
        <w:rPr>
          <w:rStyle w:val="Hyperlink"/>
          <w:sz w:val="32"/>
          <w:szCs w:val="32"/>
        </w:rPr>
        <w:t xml:space="preserve">2- </w:t>
      </w:r>
      <w:r w:rsidRPr="00C948B2">
        <w:rPr>
          <w:rStyle w:val="Hyperlink"/>
          <w:sz w:val="32"/>
          <w:szCs w:val="32"/>
          <w:rtl/>
        </w:rPr>
        <w:t>ان التقرير بالطعن وتقديم اسبابه يكونان معاً وحدة اجرائية لا يقوم فيها احدهما مقام الآخر ولا يغني عنه</w:t>
      </w:r>
      <w:r w:rsidRPr="00C948B2">
        <w:rPr>
          <w:rStyle w:val="Hyperlink"/>
          <w:sz w:val="32"/>
          <w:szCs w:val="32"/>
        </w:rPr>
        <w:t>.</w:t>
      </w:r>
      <w:r w:rsidRPr="00C948B2">
        <w:rPr>
          <w:sz w:val="32"/>
          <w:szCs w:val="32"/>
        </w:rPr>
        <w:fldChar w:fldCharType="end"/>
      </w:r>
    </w:p>
    <w:bookmarkStart w:id="5" w:name="Anchor50"/>
    <w:bookmarkEnd w:id="5"/>
    <w:p w:rsidR="00C948B2" w:rsidRPr="00C948B2" w:rsidRDefault="00C948B2" w:rsidP="00C948B2">
      <w:pPr>
        <w:rPr>
          <w:sz w:val="32"/>
          <w:szCs w:val="32"/>
        </w:rPr>
      </w:pPr>
      <w:r w:rsidRPr="00C948B2">
        <w:rPr>
          <w:sz w:val="32"/>
          <w:szCs w:val="32"/>
        </w:rPr>
        <w:fldChar w:fldCharType="begin"/>
      </w:r>
      <w:r w:rsidRPr="00C948B2">
        <w:rPr>
          <w:sz w:val="32"/>
          <w:szCs w:val="32"/>
        </w:rPr>
        <w:instrText xml:space="preserve"> HYPERLINK "http://www.law.gov.kw/KWT_CC-Ar/00_2014/00_%D8%A7%D9%84%D8%AF%D8%A7%D8%A6%D8%B1%D8%A9%20%D8%A7%D9%84%D8%AC%D8%B2%D8%A7%D8%A6%D9%8A%D8%A9/KWT-CC-Ar_2014-02-16_00499_Taan.html" \l "TM2014_499_3" </w:instrText>
      </w:r>
      <w:r w:rsidRPr="00C948B2">
        <w:rPr>
          <w:sz w:val="32"/>
          <w:szCs w:val="32"/>
        </w:rPr>
        <w:fldChar w:fldCharType="separate"/>
      </w:r>
      <w:r w:rsidRPr="00C948B2">
        <w:rPr>
          <w:rStyle w:val="Hyperlink"/>
          <w:sz w:val="32"/>
          <w:szCs w:val="32"/>
        </w:rPr>
        <w:t xml:space="preserve">3- </w:t>
      </w:r>
      <w:r w:rsidRPr="00C948B2">
        <w:rPr>
          <w:rStyle w:val="Hyperlink"/>
          <w:sz w:val="32"/>
          <w:szCs w:val="32"/>
          <w:rtl/>
        </w:rPr>
        <w:t>ان الدفع ببطلان القبض هو من الدفوع الجوهرية التي يتعين على محكمة الموضوع ان تعرض له وتبدي رايها بشأنه إما بصحته او برفضه وذلك باسباب سائغة لها اصلها الثابت في الأوراق</w:t>
      </w:r>
      <w:r w:rsidRPr="00C948B2">
        <w:rPr>
          <w:rStyle w:val="Hyperlink"/>
          <w:sz w:val="32"/>
          <w:szCs w:val="32"/>
        </w:rPr>
        <w:t>.</w:t>
      </w:r>
      <w:r w:rsidRPr="00C948B2">
        <w:rPr>
          <w:sz w:val="32"/>
          <w:szCs w:val="32"/>
        </w:rPr>
        <w:fldChar w:fldCharType="end"/>
      </w:r>
    </w:p>
    <w:bookmarkStart w:id="6" w:name="Anchor67"/>
    <w:bookmarkEnd w:id="6"/>
    <w:p w:rsidR="00C948B2" w:rsidRPr="00C948B2" w:rsidRDefault="00C948B2" w:rsidP="00C948B2">
      <w:pPr>
        <w:rPr>
          <w:sz w:val="32"/>
          <w:szCs w:val="32"/>
        </w:rPr>
      </w:pPr>
      <w:r w:rsidRPr="00C948B2">
        <w:rPr>
          <w:sz w:val="32"/>
          <w:szCs w:val="32"/>
        </w:rPr>
        <w:fldChar w:fldCharType="begin"/>
      </w:r>
      <w:r w:rsidRPr="00C948B2">
        <w:rPr>
          <w:sz w:val="32"/>
          <w:szCs w:val="32"/>
        </w:rPr>
        <w:instrText xml:space="preserve"> HYPERLINK "http://www.law.gov.kw/KWT_CC-Ar/00_2014/00_%D8%A7%D9%84%D8%AF%D8%A7%D8%A6%D8%B1%D8%A9%20%D8%A7%D9%84%D8%AC%D8%B2%D8%A7%D8%A6%D9%8A%D8%A9/KWT-CC-Ar_2014-02-16_00499_Taan.html" \l "TM2014_499_4" </w:instrText>
      </w:r>
      <w:r w:rsidRPr="00C948B2">
        <w:rPr>
          <w:sz w:val="32"/>
          <w:szCs w:val="32"/>
        </w:rPr>
        <w:fldChar w:fldCharType="separate"/>
      </w:r>
      <w:r w:rsidRPr="00C948B2">
        <w:rPr>
          <w:rStyle w:val="Hyperlink"/>
          <w:sz w:val="32"/>
          <w:szCs w:val="32"/>
        </w:rPr>
        <w:t xml:space="preserve">4- </w:t>
      </w:r>
      <w:r w:rsidRPr="00C948B2">
        <w:rPr>
          <w:rStyle w:val="Hyperlink"/>
          <w:sz w:val="32"/>
          <w:szCs w:val="32"/>
          <w:rtl/>
        </w:rPr>
        <w:t>ان الأدلة في المواد الجزائية هي متساندة يكمل بعضها بعضاً ومنها مجتمعة تتكون عقيدة المحكمة</w:t>
      </w:r>
      <w:r w:rsidRPr="00C948B2">
        <w:rPr>
          <w:rStyle w:val="Hyperlink"/>
          <w:sz w:val="32"/>
          <w:szCs w:val="32"/>
        </w:rPr>
        <w:t>.</w:t>
      </w:r>
      <w:r w:rsidRPr="00C948B2">
        <w:rPr>
          <w:sz w:val="32"/>
          <w:szCs w:val="32"/>
        </w:rPr>
        <w:fldChar w:fldCharType="end"/>
      </w:r>
      <w:r w:rsidRPr="00C948B2">
        <w:rPr>
          <w:sz w:val="32"/>
          <w:szCs w:val="32"/>
        </w:rPr>
        <w:br/>
      </w:r>
      <w:r w:rsidRPr="00C948B2">
        <w:rPr>
          <w:sz w:val="32"/>
          <w:szCs w:val="32"/>
        </w:rPr>
        <w:br/>
      </w:r>
      <w:r w:rsidRPr="00C948B2">
        <w:rPr>
          <w:sz w:val="32"/>
          <w:szCs w:val="32"/>
          <w:u w:val="single"/>
          <w:rtl/>
        </w:rPr>
        <w:t>ملاحظة</w:t>
      </w:r>
      <w:r w:rsidRPr="00C948B2">
        <w:rPr>
          <w:sz w:val="32"/>
          <w:szCs w:val="32"/>
          <w:u w:val="single"/>
        </w:rPr>
        <w:t xml:space="preserve"> :</w:t>
      </w:r>
      <w:r w:rsidRPr="00C948B2">
        <w:rPr>
          <w:sz w:val="32"/>
          <w:szCs w:val="32"/>
        </w:rPr>
        <w:br/>
      </w:r>
      <w:r w:rsidRPr="00C948B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948B2" w:rsidRPr="00C948B2" w:rsidRDefault="00C948B2" w:rsidP="00C948B2">
      <w:pPr>
        <w:rPr>
          <w:sz w:val="32"/>
          <w:szCs w:val="32"/>
        </w:rPr>
      </w:pPr>
      <w:bookmarkStart w:id="7" w:name="Anchor77"/>
      <w:bookmarkEnd w:id="7"/>
      <w:r w:rsidRPr="00C948B2">
        <w:rPr>
          <w:b/>
          <w:bCs/>
          <w:sz w:val="32"/>
          <w:szCs w:val="32"/>
          <w:rtl/>
        </w:rPr>
        <w:t>المحكـمة</w:t>
      </w:r>
    </w:p>
    <w:p w:rsidR="00C948B2" w:rsidRPr="00C948B2" w:rsidRDefault="00C948B2" w:rsidP="00C948B2">
      <w:pPr>
        <w:rPr>
          <w:sz w:val="32"/>
          <w:szCs w:val="32"/>
        </w:rPr>
      </w:pPr>
      <w:bookmarkStart w:id="8" w:name="Anchor78"/>
      <w:bookmarkEnd w:id="8"/>
      <w:r w:rsidRPr="00C948B2">
        <w:rPr>
          <w:sz w:val="32"/>
          <w:szCs w:val="32"/>
          <w:rtl/>
        </w:rPr>
        <w:t>بعد الاطلاع على الأوراق، وسماع المرافعة، وبعد المداولة</w:t>
      </w:r>
      <w:r w:rsidRPr="00C948B2">
        <w:rPr>
          <w:sz w:val="32"/>
          <w:szCs w:val="32"/>
        </w:rPr>
        <w:t>.</w:t>
      </w:r>
    </w:p>
    <w:p w:rsidR="00C948B2" w:rsidRPr="00C948B2" w:rsidRDefault="00C948B2" w:rsidP="00C948B2">
      <w:pPr>
        <w:rPr>
          <w:sz w:val="32"/>
          <w:szCs w:val="32"/>
        </w:rPr>
      </w:pPr>
      <w:bookmarkStart w:id="9" w:name="Anchor85"/>
      <w:bookmarkEnd w:id="9"/>
      <w:r w:rsidRPr="00C948B2">
        <w:rPr>
          <w:sz w:val="32"/>
          <w:szCs w:val="32"/>
          <w:rtl/>
        </w:rPr>
        <w:t>أولاً:بالنسبة للطعن المرفوع من الطاعنة الأولى</w:t>
      </w:r>
      <w:r w:rsidRPr="00C948B2">
        <w:rPr>
          <w:sz w:val="32"/>
          <w:szCs w:val="32"/>
        </w:rPr>
        <w:t xml:space="preserve"> " </w:t>
      </w:r>
      <w:r w:rsidRPr="00C948B2">
        <w:rPr>
          <w:sz w:val="32"/>
          <w:szCs w:val="32"/>
          <w:rtl/>
        </w:rPr>
        <w:t>ويجايا كوماري وبراموثو</w:t>
      </w:r>
      <w:r w:rsidRPr="00C948B2">
        <w:rPr>
          <w:sz w:val="32"/>
          <w:szCs w:val="32"/>
        </w:rPr>
        <w:t>".</w:t>
      </w:r>
    </w:p>
    <w:p w:rsidR="00C948B2" w:rsidRPr="00C948B2" w:rsidRDefault="00C948B2" w:rsidP="00C948B2">
      <w:pPr>
        <w:rPr>
          <w:sz w:val="32"/>
          <w:szCs w:val="32"/>
        </w:rPr>
      </w:pPr>
      <w:bookmarkStart w:id="10" w:name="Anchor93"/>
      <w:bookmarkEnd w:id="10"/>
      <w:r w:rsidRPr="00C948B2">
        <w:rPr>
          <w:sz w:val="32"/>
          <w:szCs w:val="32"/>
          <w:rtl/>
        </w:rPr>
        <w:t xml:space="preserve">وحيث إنه من المقرر طبقاً لحكم المادة العاشرة من القانون رقم 40 لسنة 1972 بشأن حالات الطعن بالتمييز وإجراءاته، وعلى ما جرى به قضاء </w:t>
      </w:r>
      <w:r w:rsidRPr="00C948B2">
        <w:rPr>
          <w:sz w:val="32"/>
          <w:szCs w:val="32"/>
        </w:rPr>
        <w:t xml:space="preserve">– </w:t>
      </w:r>
      <w:r w:rsidRPr="00C948B2">
        <w:rPr>
          <w:sz w:val="32"/>
          <w:szCs w:val="32"/>
          <w:rtl/>
        </w:rPr>
        <w:t xml:space="preserve">هذه المحكمة </w:t>
      </w:r>
      <w:r w:rsidRPr="00C948B2">
        <w:rPr>
          <w:sz w:val="32"/>
          <w:szCs w:val="32"/>
        </w:rPr>
        <w:t xml:space="preserve">– </w:t>
      </w:r>
      <w:r w:rsidRPr="00C948B2">
        <w:rPr>
          <w:sz w:val="32"/>
          <w:szCs w:val="32"/>
          <w:rtl/>
        </w:rPr>
        <w:t xml:space="preserve">محكمة التمييز </w:t>
      </w:r>
      <w:r w:rsidRPr="00C948B2">
        <w:rPr>
          <w:b/>
          <w:bCs/>
          <w:sz w:val="32"/>
          <w:szCs w:val="32"/>
        </w:rPr>
        <w:t xml:space="preserve">- </w:t>
      </w:r>
      <w:bookmarkStart w:id="11" w:name="TM2014_499_1"/>
      <w:bookmarkEnd w:id="11"/>
      <w:r w:rsidRPr="00C948B2">
        <w:rPr>
          <w:b/>
          <w:bCs/>
          <w:sz w:val="32"/>
          <w:szCs w:val="32"/>
          <w:rtl/>
        </w:rPr>
        <w:t xml:space="preserve">أن التقرير بالطعن بالتمييز هو مناط اتصال المحكمة به وأن إيداع الأسباب التي بنى عليها الطاعن في الميعاد الذى حدده القانون موقعاً عليها من محام هو شرط لقبوله، </w:t>
      </w:r>
    </w:p>
    <w:p w:rsidR="00C948B2" w:rsidRPr="00C948B2" w:rsidRDefault="00C948B2" w:rsidP="00C948B2">
      <w:pPr>
        <w:rPr>
          <w:sz w:val="32"/>
          <w:szCs w:val="32"/>
        </w:rPr>
      </w:pPr>
      <w:bookmarkStart w:id="12" w:name="Anchor127"/>
      <w:bookmarkStart w:id="13" w:name="TM2014_499_2"/>
      <w:bookmarkEnd w:id="12"/>
      <w:bookmarkEnd w:id="13"/>
      <w:r w:rsidRPr="00C948B2">
        <w:rPr>
          <w:b/>
          <w:bCs/>
          <w:sz w:val="32"/>
          <w:szCs w:val="32"/>
          <w:rtl/>
        </w:rPr>
        <w:lastRenderedPageBreak/>
        <w:t>وأن التقرير بالطعن وتقديم أسبابه يكونان معاً وحدة إجرائية لا يقوم فيها أحدهما مقام الأخر ولا يغني عنه،</w:t>
      </w:r>
      <w:r w:rsidRPr="00C948B2">
        <w:rPr>
          <w:sz w:val="32"/>
          <w:szCs w:val="32"/>
          <w:rtl/>
        </w:rPr>
        <w:t xml:space="preserve"> وكانت الطاعنة الأولى، وإن قررت بالطعن بالتمييز في الميعاد إلا أنها لم تقدم أسباباً لطعنها فإن الطعن المرفوع منها يكون غير مقبول شكلاً</w:t>
      </w:r>
      <w:r w:rsidRPr="00C948B2">
        <w:rPr>
          <w:sz w:val="32"/>
          <w:szCs w:val="32"/>
        </w:rPr>
        <w:t>.</w:t>
      </w:r>
    </w:p>
    <w:p w:rsidR="00C948B2" w:rsidRPr="00C948B2" w:rsidRDefault="00C948B2" w:rsidP="00C948B2">
      <w:pPr>
        <w:rPr>
          <w:sz w:val="32"/>
          <w:szCs w:val="32"/>
        </w:rPr>
      </w:pPr>
      <w:bookmarkStart w:id="14" w:name="Anchor153"/>
      <w:bookmarkEnd w:id="14"/>
      <w:r w:rsidRPr="00C948B2">
        <w:rPr>
          <w:sz w:val="32"/>
          <w:szCs w:val="32"/>
          <w:rtl/>
        </w:rPr>
        <w:t>ثانياً</w:t>
      </w:r>
      <w:r w:rsidRPr="00C948B2">
        <w:rPr>
          <w:sz w:val="32"/>
          <w:szCs w:val="32"/>
        </w:rPr>
        <w:t xml:space="preserve">: </w:t>
      </w:r>
      <w:r w:rsidRPr="00C948B2">
        <w:rPr>
          <w:sz w:val="32"/>
          <w:szCs w:val="32"/>
          <w:rtl/>
        </w:rPr>
        <w:t xml:space="preserve">بالنسبة للطعن المرفوع من الطاعن الثاني </w:t>
      </w:r>
      <w:r w:rsidRPr="00C948B2">
        <w:rPr>
          <w:sz w:val="32"/>
          <w:szCs w:val="32"/>
        </w:rPr>
        <w:t>".........."</w:t>
      </w:r>
    </w:p>
    <w:p w:rsidR="00C948B2" w:rsidRPr="00C948B2" w:rsidRDefault="00C948B2" w:rsidP="00C948B2">
      <w:pPr>
        <w:rPr>
          <w:sz w:val="32"/>
          <w:szCs w:val="32"/>
        </w:rPr>
      </w:pPr>
      <w:bookmarkStart w:id="15" w:name="Anchor160"/>
      <w:bookmarkEnd w:id="15"/>
      <w:r w:rsidRPr="00C948B2">
        <w:rPr>
          <w:sz w:val="32"/>
          <w:szCs w:val="32"/>
          <w:rtl/>
        </w:rPr>
        <w:t>من حيث إن الطعن قد استوفى الشكل المقرر في القانون</w:t>
      </w:r>
      <w:r w:rsidRPr="00C948B2">
        <w:rPr>
          <w:sz w:val="32"/>
          <w:szCs w:val="32"/>
        </w:rPr>
        <w:t>.</w:t>
      </w:r>
    </w:p>
    <w:p w:rsidR="00C948B2" w:rsidRPr="00C948B2" w:rsidRDefault="00C948B2" w:rsidP="00C948B2">
      <w:pPr>
        <w:rPr>
          <w:sz w:val="32"/>
          <w:szCs w:val="32"/>
        </w:rPr>
      </w:pPr>
      <w:bookmarkStart w:id="16" w:name="Anchor165"/>
      <w:bookmarkEnd w:id="16"/>
      <w:r w:rsidRPr="00C948B2">
        <w:rPr>
          <w:sz w:val="32"/>
          <w:szCs w:val="32"/>
          <w:rtl/>
        </w:rPr>
        <w:t>ومن حيث إن مما ينعاه الطاعن على الحكم المطعون فيه إنه إذ دانه بجريمة السرقة عن طريق تحطيم حرز قد شابه القصور في التسبيب، والإخلال بحق الدفاع، ذلك أنه دفع ببطلان القبض عليه الذى تم في غير حالة الجريمة المشهودة وعدم وجود أدلة قوية تبيح لرجل الشرطة القبض عليه إلا أن الحكم أشاح عن هذا الدفع ولم يرد عليه رغم تعويله في إدانته على أدلة تولدت عن ذلك اجراء الباطل، مما يعيب بما يستوجب تمييزه</w:t>
      </w:r>
      <w:r w:rsidRPr="00C948B2">
        <w:rPr>
          <w:sz w:val="32"/>
          <w:szCs w:val="32"/>
        </w:rPr>
        <w:t>.</w:t>
      </w:r>
    </w:p>
    <w:p w:rsidR="00C948B2" w:rsidRPr="00C948B2" w:rsidRDefault="00C948B2" w:rsidP="00C948B2">
      <w:pPr>
        <w:rPr>
          <w:sz w:val="32"/>
          <w:szCs w:val="32"/>
        </w:rPr>
      </w:pPr>
      <w:bookmarkStart w:id="17" w:name="Anchor201"/>
      <w:bookmarkEnd w:id="17"/>
      <w:r w:rsidRPr="00C948B2">
        <w:rPr>
          <w:sz w:val="32"/>
          <w:szCs w:val="32"/>
          <w:rtl/>
        </w:rPr>
        <w:t xml:space="preserve">ومن حيث إن من المقرر </w:t>
      </w:r>
      <w:r w:rsidRPr="00C948B2">
        <w:rPr>
          <w:sz w:val="32"/>
          <w:szCs w:val="32"/>
        </w:rPr>
        <w:t xml:space="preserve">- </w:t>
      </w:r>
      <w:r w:rsidRPr="00C948B2">
        <w:rPr>
          <w:sz w:val="32"/>
          <w:szCs w:val="32"/>
          <w:rtl/>
        </w:rPr>
        <w:t xml:space="preserve">وعلى ما جري به قضاء هذه المحكمة </w:t>
      </w:r>
      <w:r w:rsidRPr="00C948B2">
        <w:rPr>
          <w:sz w:val="32"/>
          <w:szCs w:val="32"/>
        </w:rPr>
        <w:t>–</w:t>
      </w:r>
      <w:bookmarkStart w:id="18" w:name="TM2014_499_3"/>
      <w:bookmarkEnd w:id="18"/>
      <w:r w:rsidRPr="00C948B2">
        <w:rPr>
          <w:b/>
          <w:bCs/>
          <w:sz w:val="32"/>
          <w:szCs w:val="32"/>
          <w:rtl/>
        </w:rPr>
        <w:t>أن الدفع ببطلان القبض من الدفوع الجوهرية التي يتعين على محكمة الموضوع أن تعرض له وتبدي رأيها في شأنه إما بصحته أو برفضه وذلك بأسباب سائغة ما دام انها عولت في الإدانة على دليل مترتب على هذا القبض</w:t>
      </w:r>
      <w:r w:rsidRPr="00C948B2">
        <w:rPr>
          <w:b/>
          <w:bCs/>
          <w:sz w:val="32"/>
          <w:szCs w:val="32"/>
        </w:rPr>
        <w:t>.</w:t>
      </w:r>
    </w:p>
    <w:p w:rsidR="00C948B2" w:rsidRPr="00C948B2" w:rsidRDefault="00C948B2" w:rsidP="00C948B2">
      <w:pPr>
        <w:rPr>
          <w:sz w:val="32"/>
          <w:szCs w:val="32"/>
        </w:rPr>
      </w:pPr>
      <w:bookmarkStart w:id="19" w:name="Anchor227"/>
      <w:bookmarkEnd w:id="19"/>
      <w:r w:rsidRPr="00C948B2">
        <w:rPr>
          <w:sz w:val="32"/>
          <w:szCs w:val="32"/>
          <w:rtl/>
        </w:rPr>
        <w:t xml:space="preserve">لما كان ذلك وكان البين من الأوراق أن الطاعن تمسك في مذكرة دفاعه المقدمة أمام محكمة أول درجة بجلسة 2013/2/19 ببطلان القبض عليه لعدم وجود أدلة قوية تبيح لرجل الشرطة القبض عليه دون أمر كتابي ، فإن ما تمسك به الطاعن على هذا النحو يعد دفاعاً مسطوراً معروض على محكمة الإستئناف </w:t>
      </w:r>
      <w:r w:rsidRPr="00C948B2">
        <w:rPr>
          <w:sz w:val="32"/>
          <w:szCs w:val="32"/>
        </w:rPr>
        <w:t xml:space="preserve">– </w:t>
      </w:r>
      <w:r w:rsidRPr="00C948B2">
        <w:rPr>
          <w:sz w:val="32"/>
          <w:szCs w:val="32"/>
          <w:rtl/>
        </w:rPr>
        <w:t xml:space="preserve">ولو لم يتمسك أمامها بذلك الدفع </w:t>
      </w:r>
      <w:r w:rsidRPr="00C948B2">
        <w:rPr>
          <w:sz w:val="32"/>
          <w:szCs w:val="32"/>
        </w:rPr>
        <w:t xml:space="preserve">- </w:t>
      </w:r>
      <w:r w:rsidRPr="00C948B2">
        <w:rPr>
          <w:sz w:val="32"/>
          <w:szCs w:val="32"/>
          <w:rtl/>
        </w:rPr>
        <w:t xml:space="preserve">بعد أن انتهت إلى إدانة الطاعن خلافاً لما انتهت إليه محكمة أول درجة من براءة الطاعن، وكان الحكم المطعون فيه قد التفت كلية عن التعرض للدفع المذكور وقعد عن تمحيصه وإبداء رأي المحكمة فيه رغم جوهريته وتعويله في قضائه بإدانة الطاعن على أقوال من قام بهذا الإجراء وما أسفرت عنه تحرياته، وهو ما يعيب الحكم بالقصور الذي يبطله، ولا يعصمه من هذا البطلان ما قام عليه من أدلة أخرى، لما هو مقرر من </w:t>
      </w:r>
      <w:r w:rsidRPr="00C948B2">
        <w:rPr>
          <w:b/>
          <w:bCs/>
          <w:sz w:val="32"/>
          <w:szCs w:val="32"/>
          <w:rtl/>
        </w:rPr>
        <w:t>أ</w:t>
      </w:r>
      <w:bookmarkStart w:id="20" w:name="TM2014_499_4"/>
      <w:bookmarkEnd w:id="20"/>
      <w:r w:rsidRPr="00C948B2">
        <w:rPr>
          <w:b/>
          <w:bCs/>
          <w:sz w:val="32"/>
          <w:szCs w:val="32"/>
          <w:rtl/>
        </w:rPr>
        <w:t xml:space="preserve">ن الأدلة في المواد الجزائية متساندة يكمل بعضها بعضاً ومنها مجتمعة تتكون عقيدة المحكمة </w:t>
      </w:r>
      <w:r w:rsidRPr="00C948B2">
        <w:rPr>
          <w:sz w:val="32"/>
          <w:szCs w:val="32"/>
          <w:rtl/>
        </w:rPr>
        <w:t>بحيث إذ اسقط أحده أو استبعد تعذر التعرف على مبلغ الأثر الذى كان لهذا الدليل في الرأي الذى انتهت إليه المحكمة</w:t>
      </w:r>
      <w:r w:rsidRPr="00C948B2">
        <w:rPr>
          <w:sz w:val="32"/>
          <w:szCs w:val="32"/>
        </w:rPr>
        <w:t>.</w:t>
      </w:r>
    </w:p>
    <w:p w:rsidR="00C948B2" w:rsidRPr="00C948B2" w:rsidRDefault="00C948B2" w:rsidP="00C948B2">
      <w:pPr>
        <w:rPr>
          <w:sz w:val="32"/>
          <w:szCs w:val="32"/>
        </w:rPr>
      </w:pPr>
      <w:bookmarkStart w:id="21" w:name="Anchor310"/>
      <w:bookmarkEnd w:id="21"/>
      <w:r w:rsidRPr="00C948B2">
        <w:rPr>
          <w:sz w:val="32"/>
          <w:szCs w:val="32"/>
          <w:rtl/>
        </w:rPr>
        <w:t>مما يتعين معه تمييز الحكم المطعون فيه فيما قضى به بالنسبة للطاعن الثاني وحده دون الطاعنة الأولى والتي لا يتصل الوجه الذي ينى عليه التمييز بها، وذلك دون حاجة لبحث باقي أوجه الطعن المقدمة من الطاعن الثاني</w:t>
      </w:r>
      <w:r w:rsidRPr="00C948B2">
        <w:rPr>
          <w:sz w:val="32"/>
          <w:szCs w:val="32"/>
        </w:rPr>
        <w:t>.</w:t>
      </w:r>
    </w:p>
    <w:p w:rsidR="00C948B2" w:rsidRPr="00C948B2" w:rsidRDefault="00C948B2" w:rsidP="00C948B2">
      <w:pPr>
        <w:rPr>
          <w:sz w:val="32"/>
          <w:szCs w:val="32"/>
        </w:rPr>
      </w:pPr>
      <w:bookmarkStart w:id="22" w:name="Anchor329"/>
      <w:bookmarkEnd w:id="22"/>
      <w:r w:rsidRPr="00C948B2">
        <w:rPr>
          <w:sz w:val="32"/>
          <w:szCs w:val="32"/>
          <w:rtl/>
        </w:rPr>
        <w:t xml:space="preserve">ومن حيث إن الإستئناف </w:t>
      </w:r>
      <w:r w:rsidRPr="00C948B2">
        <w:rPr>
          <w:sz w:val="32"/>
          <w:szCs w:val="32"/>
        </w:rPr>
        <w:t xml:space="preserve">– </w:t>
      </w:r>
      <w:r w:rsidRPr="00C948B2">
        <w:rPr>
          <w:sz w:val="32"/>
          <w:szCs w:val="32"/>
          <w:rtl/>
        </w:rPr>
        <w:t xml:space="preserve">فيما مُيز من الحكم </w:t>
      </w:r>
      <w:r w:rsidRPr="00C948B2">
        <w:rPr>
          <w:sz w:val="32"/>
          <w:szCs w:val="32"/>
        </w:rPr>
        <w:t xml:space="preserve">– </w:t>
      </w:r>
      <w:r w:rsidRPr="00C948B2">
        <w:rPr>
          <w:sz w:val="32"/>
          <w:szCs w:val="32"/>
          <w:rtl/>
        </w:rPr>
        <w:t xml:space="preserve">صالح للفصل فيه ومن حيث إن المحكمة ترى سلامة الحكم المستأنف فيما قضى به من براءة المتهم الثاني </w:t>
      </w:r>
      <w:r w:rsidRPr="00C948B2">
        <w:rPr>
          <w:sz w:val="32"/>
          <w:szCs w:val="32"/>
        </w:rPr>
        <w:t xml:space="preserve">".......... </w:t>
      </w:r>
      <w:proofErr w:type="gramStart"/>
      <w:r w:rsidRPr="00C948B2">
        <w:rPr>
          <w:sz w:val="32"/>
          <w:szCs w:val="32"/>
        </w:rPr>
        <w:t xml:space="preserve">" </w:t>
      </w:r>
      <w:r w:rsidRPr="00C948B2">
        <w:rPr>
          <w:sz w:val="32"/>
          <w:szCs w:val="32"/>
          <w:rtl/>
        </w:rPr>
        <w:t>وتأخذ</w:t>
      </w:r>
      <w:proofErr w:type="gramEnd"/>
      <w:r w:rsidRPr="00C948B2">
        <w:rPr>
          <w:sz w:val="32"/>
          <w:szCs w:val="32"/>
          <w:rtl/>
        </w:rPr>
        <w:t xml:space="preserve"> بأسبابه في هذا الشق وتعتبرها أسباباً لحكمها</w:t>
      </w:r>
      <w:r w:rsidRPr="00C948B2">
        <w:rPr>
          <w:sz w:val="32"/>
          <w:szCs w:val="32"/>
        </w:rPr>
        <w:t>.</w:t>
      </w:r>
    </w:p>
    <w:p w:rsidR="00C948B2" w:rsidRPr="00C948B2" w:rsidRDefault="00C948B2" w:rsidP="00C948B2">
      <w:pPr>
        <w:rPr>
          <w:sz w:val="32"/>
          <w:szCs w:val="32"/>
        </w:rPr>
      </w:pPr>
      <w:bookmarkStart w:id="23" w:name="Anchor352"/>
      <w:bookmarkEnd w:id="23"/>
      <w:r w:rsidRPr="00C948B2">
        <w:rPr>
          <w:sz w:val="32"/>
          <w:szCs w:val="32"/>
          <w:rtl/>
        </w:rPr>
        <w:t xml:space="preserve">وكانت المستأنفة </w:t>
      </w:r>
      <w:r w:rsidRPr="00C948B2">
        <w:rPr>
          <w:sz w:val="32"/>
          <w:szCs w:val="32"/>
        </w:rPr>
        <w:t xml:space="preserve">– </w:t>
      </w:r>
      <w:r w:rsidRPr="00C948B2">
        <w:rPr>
          <w:sz w:val="32"/>
          <w:szCs w:val="32"/>
          <w:rtl/>
        </w:rPr>
        <w:t>النيابة العامة لم تأت بجديد يمكن أن يتغير به وجه الرأي في الدعوى في هذا الخصوص، فإن استئنافها يكون على غير أساس ، ومن ثم تقضى المحكمة برفض استئناف النيابة العامة ضد المتهم الثاني وتأييد الحكم المستأنف فيما قضى به من براءة بالنسبة له</w:t>
      </w:r>
      <w:r w:rsidRPr="00C948B2">
        <w:rPr>
          <w:sz w:val="32"/>
          <w:szCs w:val="32"/>
        </w:rPr>
        <w:t>.</w:t>
      </w:r>
    </w:p>
    <w:p w:rsidR="00C948B2" w:rsidRPr="00C948B2" w:rsidRDefault="00C948B2" w:rsidP="00C948B2">
      <w:pPr>
        <w:rPr>
          <w:sz w:val="32"/>
          <w:szCs w:val="32"/>
        </w:rPr>
      </w:pPr>
      <w:bookmarkStart w:id="24" w:name="Anchor376"/>
      <w:bookmarkEnd w:id="24"/>
      <w:r w:rsidRPr="00C948B2">
        <w:rPr>
          <w:sz w:val="32"/>
          <w:szCs w:val="32"/>
          <w:rtl/>
        </w:rPr>
        <w:t>فلهذه الأسباب</w:t>
      </w:r>
    </w:p>
    <w:p w:rsidR="00C948B2" w:rsidRPr="00C948B2" w:rsidRDefault="00C948B2" w:rsidP="00C948B2">
      <w:pPr>
        <w:rPr>
          <w:sz w:val="32"/>
          <w:szCs w:val="32"/>
        </w:rPr>
      </w:pPr>
      <w:bookmarkStart w:id="25" w:name="Anchor378"/>
      <w:bookmarkEnd w:id="25"/>
      <w:r w:rsidRPr="00C948B2">
        <w:rPr>
          <w:sz w:val="32"/>
          <w:szCs w:val="32"/>
          <w:rtl/>
        </w:rPr>
        <w:t>حكمت المحكمة</w:t>
      </w:r>
      <w:r w:rsidRPr="00C948B2">
        <w:rPr>
          <w:sz w:val="32"/>
          <w:szCs w:val="32"/>
        </w:rPr>
        <w:t xml:space="preserve">:- </w:t>
      </w:r>
      <w:r w:rsidRPr="00C948B2">
        <w:rPr>
          <w:sz w:val="32"/>
          <w:szCs w:val="32"/>
          <w:rtl/>
        </w:rPr>
        <w:t xml:space="preserve">بعدم قبول الطعن المقدم من الطاعنة الأولى </w:t>
      </w:r>
      <w:r w:rsidRPr="00C948B2">
        <w:rPr>
          <w:sz w:val="32"/>
          <w:szCs w:val="32"/>
        </w:rPr>
        <w:t xml:space="preserve">".........." </w:t>
      </w:r>
      <w:r w:rsidRPr="00C948B2">
        <w:rPr>
          <w:sz w:val="32"/>
          <w:szCs w:val="32"/>
          <w:rtl/>
        </w:rPr>
        <w:t>شكلاً</w:t>
      </w:r>
      <w:r w:rsidRPr="00C948B2">
        <w:rPr>
          <w:sz w:val="32"/>
          <w:szCs w:val="32"/>
        </w:rPr>
        <w:t xml:space="preserve">. </w:t>
      </w:r>
    </w:p>
    <w:p w:rsidR="00C948B2" w:rsidRPr="00C948B2" w:rsidRDefault="00C948B2" w:rsidP="00C948B2">
      <w:pPr>
        <w:rPr>
          <w:sz w:val="32"/>
          <w:szCs w:val="32"/>
        </w:rPr>
      </w:pPr>
      <w:bookmarkStart w:id="26" w:name="Anchor388"/>
      <w:bookmarkEnd w:id="26"/>
      <w:r w:rsidRPr="00C948B2">
        <w:rPr>
          <w:sz w:val="32"/>
          <w:szCs w:val="32"/>
          <w:rtl/>
        </w:rPr>
        <w:t>ثانياً</w:t>
      </w:r>
      <w:r w:rsidRPr="00C948B2">
        <w:rPr>
          <w:sz w:val="32"/>
          <w:szCs w:val="32"/>
        </w:rPr>
        <w:t xml:space="preserve">: </w:t>
      </w:r>
      <w:r w:rsidRPr="00C948B2">
        <w:rPr>
          <w:sz w:val="32"/>
          <w:szCs w:val="32"/>
          <w:rtl/>
        </w:rPr>
        <w:t xml:space="preserve">بقبول الطعن المقدم من الطاعن الثاني </w:t>
      </w:r>
      <w:r w:rsidRPr="00C948B2">
        <w:rPr>
          <w:sz w:val="32"/>
          <w:szCs w:val="32"/>
        </w:rPr>
        <w:t xml:space="preserve">"........" </w:t>
      </w:r>
      <w:r w:rsidRPr="00C948B2">
        <w:rPr>
          <w:sz w:val="32"/>
          <w:szCs w:val="32"/>
          <w:rtl/>
        </w:rPr>
        <w:t>شكلاً، وفي الموضوع بتمييز الحكم المطعون فيه بالنسبة له، وفى موضوع الإستئناف المرفوع من النيابة العامة ضده برفضه، وتأييد الحكم المستأنف فيما قضى به من براءته من التهمة المنسوبة اليه</w:t>
      </w:r>
      <w:r w:rsidRPr="00C948B2">
        <w:rPr>
          <w:sz w:val="32"/>
          <w:szCs w:val="32"/>
        </w:rPr>
        <w:t>.</w:t>
      </w:r>
    </w:p>
    <w:p w:rsidR="00C948B2" w:rsidRPr="00C948B2" w:rsidRDefault="00C948B2" w:rsidP="00C948B2">
      <w:pPr>
        <w:rPr>
          <w:sz w:val="32"/>
          <w:szCs w:val="32"/>
        </w:rPr>
      </w:pPr>
    </w:p>
    <w:p w:rsidR="00C948B2" w:rsidRPr="00C948B2" w:rsidRDefault="00C948B2" w:rsidP="00C948B2">
      <w:pPr>
        <w:rPr>
          <w:sz w:val="32"/>
          <w:szCs w:val="32"/>
        </w:rPr>
      </w:pPr>
      <w:bookmarkStart w:id="27" w:name="Anchor414"/>
      <w:bookmarkEnd w:id="27"/>
      <w:r w:rsidRPr="00C948B2">
        <w:rPr>
          <w:sz w:val="32"/>
          <w:szCs w:val="32"/>
        </w:rPr>
        <w:t>* * *</w:t>
      </w:r>
    </w:p>
    <w:p w:rsidR="00F65C94" w:rsidRPr="00C948B2" w:rsidRDefault="00F65C94">
      <w:pPr>
        <w:rPr>
          <w:sz w:val="32"/>
          <w:szCs w:val="32"/>
        </w:rPr>
      </w:pPr>
    </w:p>
    <w:sectPr w:rsidR="00F65C94" w:rsidRPr="00C948B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C6"/>
    <w:rsid w:val="0003272B"/>
    <w:rsid w:val="00C948B2"/>
    <w:rsid w:val="00F65C94"/>
    <w:rsid w:val="00FE1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8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07552">
      <w:bodyDiv w:val="1"/>
      <w:marLeft w:val="0"/>
      <w:marRight w:val="0"/>
      <w:marTop w:val="0"/>
      <w:marBottom w:val="0"/>
      <w:divBdr>
        <w:top w:val="none" w:sz="0" w:space="0" w:color="auto"/>
        <w:left w:val="none" w:sz="0" w:space="0" w:color="auto"/>
        <w:bottom w:val="none" w:sz="0" w:space="0" w:color="auto"/>
        <w:right w:val="none" w:sz="0" w:space="0" w:color="auto"/>
      </w:divBdr>
      <w:divsChild>
        <w:div w:id="1895045807">
          <w:marLeft w:val="0"/>
          <w:marRight w:val="0"/>
          <w:marTop w:val="0"/>
          <w:marBottom w:val="0"/>
          <w:divBdr>
            <w:top w:val="none" w:sz="0" w:space="0" w:color="auto"/>
            <w:left w:val="none" w:sz="0" w:space="0" w:color="auto"/>
            <w:bottom w:val="none" w:sz="0" w:space="0" w:color="auto"/>
            <w:right w:val="none" w:sz="0" w:space="0" w:color="auto"/>
          </w:divBdr>
        </w:div>
        <w:div w:id="843782750">
          <w:marLeft w:val="0"/>
          <w:marRight w:val="0"/>
          <w:marTop w:val="0"/>
          <w:marBottom w:val="0"/>
          <w:divBdr>
            <w:top w:val="none" w:sz="0" w:space="0" w:color="auto"/>
            <w:left w:val="none" w:sz="0" w:space="0" w:color="auto"/>
            <w:bottom w:val="none" w:sz="0" w:space="0" w:color="auto"/>
            <w:right w:val="none" w:sz="0" w:space="0" w:color="auto"/>
          </w:divBdr>
        </w:div>
        <w:div w:id="162940137">
          <w:marLeft w:val="0"/>
          <w:marRight w:val="0"/>
          <w:marTop w:val="0"/>
          <w:marBottom w:val="0"/>
          <w:divBdr>
            <w:top w:val="none" w:sz="0" w:space="0" w:color="auto"/>
            <w:left w:val="none" w:sz="0" w:space="0" w:color="auto"/>
            <w:bottom w:val="none" w:sz="0" w:space="0" w:color="auto"/>
            <w:right w:val="none" w:sz="0" w:space="0" w:color="auto"/>
          </w:divBdr>
        </w:div>
        <w:div w:id="1031764866">
          <w:marLeft w:val="0"/>
          <w:marRight w:val="0"/>
          <w:marTop w:val="0"/>
          <w:marBottom w:val="0"/>
          <w:divBdr>
            <w:top w:val="none" w:sz="0" w:space="0" w:color="auto"/>
            <w:left w:val="none" w:sz="0" w:space="0" w:color="auto"/>
            <w:bottom w:val="none" w:sz="0" w:space="0" w:color="auto"/>
            <w:right w:val="none" w:sz="0" w:space="0" w:color="auto"/>
          </w:divBdr>
        </w:div>
        <w:div w:id="1542205081">
          <w:marLeft w:val="0"/>
          <w:marRight w:val="0"/>
          <w:marTop w:val="0"/>
          <w:marBottom w:val="0"/>
          <w:divBdr>
            <w:top w:val="none" w:sz="0" w:space="0" w:color="auto"/>
            <w:left w:val="none" w:sz="0" w:space="0" w:color="auto"/>
            <w:bottom w:val="none" w:sz="0" w:space="0" w:color="auto"/>
            <w:right w:val="none" w:sz="0" w:space="0" w:color="auto"/>
          </w:divBdr>
        </w:div>
        <w:div w:id="743259086">
          <w:marLeft w:val="0"/>
          <w:marRight w:val="0"/>
          <w:marTop w:val="0"/>
          <w:marBottom w:val="0"/>
          <w:divBdr>
            <w:top w:val="none" w:sz="0" w:space="0" w:color="auto"/>
            <w:left w:val="none" w:sz="0" w:space="0" w:color="auto"/>
            <w:bottom w:val="none" w:sz="0" w:space="0" w:color="auto"/>
            <w:right w:val="none" w:sz="0" w:space="0" w:color="auto"/>
          </w:divBdr>
        </w:div>
        <w:div w:id="1681808388">
          <w:marLeft w:val="0"/>
          <w:marRight w:val="0"/>
          <w:marTop w:val="0"/>
          <w:marBottom w:val="0"/>
          <w:divBdr>
            <w:top w:val="none" w:sz="0" w:space="0" w:color="auto"/>
            <w:left w:val="none" w:sz="0" w:space="0" w:color="auto"/>
            <w:bottom w:val="none" w:sz="0" w:space="0" w:color="auto"/>
            <w:right w:val="none" w:sz="0" w:space="0" w:color="auto"/>
          </w:divBdr>
        </w:div>
        <w:div w:id="800614971">
          <w:marLeft w:val="0"/>
          <w:marRight w:val="0"/>
          <w:marTop w:val="0"/>
          <w:marBottom w:val="0"/>
          <w:divBdr>
            <w:top w:val="none" w:sz="0" w:space="0" w:color="auto"/>
            <w:left w:val="none" w:sz="0" w:space="0" w:color="auto"/>
            <w:bottom w:val="none" w:sz="0" w:space="0" w:color="auto"/>
            <w:right w:val="none" w:sz="0" w:space="0" w:color="auto"/>
          </w:divBdr>
        </w:div>
        <w:div w:id="1874687043">
          <w:marLeft w:val="0"/>
          <w:marRight w:val="0"/>
          <w:marTop w:val="0"/>
          <w:marBottom w:val="0"/>
          <w:divBdr>
            <w:top w:val="none" w:sz="0" w:space="0" w:color="auto"/>
            <w:left w:val="none" w:sz="0" w:space="0" w:color="auto"/>
            <w:bottom w:val="none" w:sz="0" w:space="0" w:color="auto"/>
            <w:right w:val="none" w:sz="0" w:space="0" w:color="auto"/>
          </w:divBdr>
        </w:div>
        <w:div w:id="1233083858">
          <w:marLeft w:val="0"/>
          <w:marRight w:val="0"/>
          <w:marTop w:val="0"/>
          <w:marBottom w:val="0"/>
          <w:divBdr>
            <w:top w:val="none" w:sz="0" w:space="0" w:color="auto"/>
            <w:left w:val="none" w:sz="0" w:space="0" w:color="auto"/>
            <w:bottom w:val="none" w:sz="0" w:space="0" w:color="auto"/>
            <w:right w:val="none" w:sz="0" w:space="0" w:color="auto"/>
          </w:divBdr>
        </w:div>
        <w:div w:id="1451582096">
          <w:marLeft w:val="0"/>
          <w:marRight w:val="0"/>
          <w:marTop w:val="0"/>
          <w:marBottom w:val="0"/>
          <w:divBdr>
            <w:top w:val="none" w:sz="0" w:space="0" w:color="auto"/>
            <w:left w:val="none" w:sz="0" w:space="0" w:color="auto"/>
            <w:bottom w:val="none" w:sz="0" w:space="0" w:color="auto"/>
            <w:right w:val="none" w:sz="0" w:space="0" w:color="auto"/>
          </w:divBdr>
        </w:div>
        <w:div w:id="1550872912">
          <w:marLeft w:val="0"/>
          <w:marRight w:val="0"/>
          <w:marTop w:val="0"/>
          <w:marBottom w:val="0"/>
          <w:divBdr>
            <w:top w:val="none" w:sz="0" w:space="0" w:color="auto"/>
            <w:left w:val="none" w:sz="0" w:space="0" w:color="auto"/>
            <w:bottom w:val="none" w:sz="0" w:space="0" w:color="auto"/>
            <w:right w:val="none" w:sz="0" w:space="0" w:color="auto"/>
          </w:divBdr>
        </w:div>
        <w:div w:id="746341163">
          <w:marLeft w:val="0"/>
          <w:marRight w:val="0"/>
          <w:marTop w:val="0"/>
          <w:marBottom w:val="0"/>
          <w:divBdr>
            <w:top w:val="none" w:sz="0" w:space="0" w:color="auto"/>
            <w:left w:val="none" w:sz="0" w:space="0" w:color="auto"/>
            <w:bottom w:val="none" w:sz="0" w:space="0" w:color="auto"/>
            <w:right w:val="none" w:sz="0" w:space="0" w:color="auto"/>
          </w:divBdr>
        </w:div>
        <w:div w:id="1991858603">
          <w:marLeft w:val="0"/>
          <w:marRight w:val="0"/>
          <w:marTop w:val="0"/>
          <w:marBottom w:val="0"/>
          <w:divBdr>
            <w:top w:val="none" w:sz="0" w:space="0" w:color="auto"/>
            <w:left w:val="none" w:sz="0" w:space="0" w:color="auto"/>
            <w:bottom w:val="none" w:sz="0" w:space="0" w:color="auto"/>
            <w:right w:val="none" w:sz="0" w:space="0" w:color="auto"/>
          </w:divBdr>
        </w:div>
        <w:div w:id="133371574">
          <w:marLeft w:val="0"/>
          <w:marRight w:val="0"/>
          <w:marTop w:val="0"/>
          <w:marBottom w:val="0"/>
          <w:divBdr>
            <w:top w:val="none" w:sz="0" w:space="0" w:color="auto"/>
            <w:left w:val="none" w:sz="0" w:space="0" w:color="auto"/>
            <w:bottom w:val="none" w:sz="0" w:space="0" w:color="auto"/>
            <w:right w:val="none" w:sz="0" w:space="0" w:color="auto"/>
          </w:divBdr>
        </w:div>
        <w:div w:id="1465200364">
          <w:marLeft w:val="0"/>
          <w:marRight w:val="0"/>
          <w:marTop w:val="0"/>
          <w:marBottom w:val="0"/>
          <w:divBdr>
            <w:top w:val="none" w:sz="0" w:space="0" w:color="auto"/>
            <w:left w:val="none" w:sz="0" w:space="0" w:color="auto"/>
            <w:bottom w:val="none" w:sz="0" w:space="0" w:color="auto"/>
            <w:right w:val="none" w:sz="0" w:space="0" w:color="auto"/>
          </w:divBdr>
        </w:div>
        <w:div w:id="952442152">
          <w:marLeft w:val="0"/>
          <w:marRight w:val="0"/>
          <w:marTop w:val="0"/>
          <w:marBottom w:val="0"/>
          <w:divBdr>
            <w:top w:val="none" w:sz="0" w:space="0" w:color="auto"/>
            <w:left w:val="none" w:sz="0" w:space="0" w:color="auto"/>
            <w:bottom w:val="none" w:sz="0" w:space="0" w:color="auto"/>
            <w:right w:val="none" w:sz="0" w:space="0" w:color="auto"/>
          </w:divBdr>
        </w:div>
        <w:div w:id="628363432">
          <w:marLeft w:val="0"/>
          <w:marRight w:val="0"/>
          <w:marTop w:val="0"/>
          <w:marBottom w:val="0"/>
          <w:divBdr>
            <w:top w:val="none" w:sz="0" w:space="0" w:color="auto"/>
            <w:left w:val="none" w:sz="0" w:space="0" w:color="auto"/>
            <w:bottom w:val="none" w:sz="0" w:space="0" w:color="auto"/>
            <w:right w:val="none" w:sz="0" w:space="0" w:color="auto"/>
          </w:divBdr>
        </w:div>
        <w:div w:id="375543391">
          <w:marLeft w:val="0"/>
          <w:marRight w:val="0"/>
          <w:marTop w:val="0"/>
          <w:marBottom w:val="0"/>
          <w:divBdr>
            <w:top w:val="none" w:sz="0" w:space="0" w:color="auto"/>
            <w:left w:val="none" w:sz="0" w:space="0" w:color="auto"/>
            <w:bottom w:val="none" w:sz="0" w:space="0" w:color="auto"/>
            <w:right w:val="none" w:sz="0" w:space="0" w:color="auto"/>
          </w:divBdr>
        </w:div>
        <w:div w:id="396246604">
          <w:marLeft w:val="0"/>
          <w:marRight w:val="0"/>
          <w:marTop w:val="0"/>
          <w:marBottom w:val="0"/>
          <w:divBdr>
            <w:top w:val="none" w:sz="0" w:space="0" w:color="auto"/>
            <w:left w:val="none" w:sz="0" w:space="0" w:color="auto"/>
            <w:bottom w:val="none" w:sz="0" w:space="0" w:color="auto"/>
            <w:right w:val="none" w:sz="0" w:space="0" w:color="auto"/>
          </w:divBdr>
        </w:div>
        <w:div w:id="1924100033">
          <w:marLeft w:val="0"/>
          <w:marRight w:val="0"/>
          <w:marTop w:val="0"/>
          <w:marBottom w:val="0"/>
          <w:divBdr>
            <w:top w:val="none" w:sz="0" w:space="0" w:color="auto"/>
            <w:left w:val="none" w:sz="0" w:space="0" w:color="auto"/>
            <w:bottom w:val="none" w:sz="0" w:space="0" w:color="auto"/>
            <w:right w:val="none" w:sz="0" w:space="0" w:color="auto"/>
          </w:divBdr>
        </w:div>
        <w:div w:id="1630428305">
          <w:marLeft w:val="0"/>
          <w:marRight w:val="0"/>
          <w:marTop w:val="0"/>
          <w:marBottom w:val="0"/>
          <w:divBdr>
            <w:top w:val="none" w:sz="0" w:space="0" w:color="auto"/>
            <w:left w:val="none" w:sz="0" w:space="0" w:color="auto"/>
            <w:bottom w:val="none" w:sz="0" w:space="0" w:color="auto"/>
            <w:right w:val="none" w:sz="0" w:space="0" w:color="auto"/>
          </w:divBdr>
        </w:div>
        <w:div w:id="970553324">
          <w:marLeft w:val="0"/>
          <w:marRight w:val="0"/>
          <w:marTop w:val="0"/>
          <w:marBottom w:val="0"/>
          <w:divBdr>
            <w:top w:val="none" w:sz="0" w:space="0" w:color="auto"/>
            <w:left w:val="none" w:sz="0" w:space="0" w:color="auto"/>
            <w:bottom w:val="none" w:sz="0" w:space="0" w:color="auto"/>
            <w:right w:val="none" w:sz="0" w:space="0" w:color="auto"/>
          </w:divBdr>
        </w:div>
      </w:divsChild>
    </w:div>
    <w:div w:id="1290818704">
      <w:bodyDiv w:val="1"/>
      <w:marLeft w:val="0"/>
      <w:marRight w:val="0"/>
      <w:marTop w:val="0"/>
      <w:marBottom w:val="0"/>
      <w:divBdr>
        <w:top w:val="none" w:sz="0" w:space="0" w:color="auto"/>
        <w:left w:val="none" w:sz="0" w:space="0" w:color="auto"/>
        <w:bottom w:val="none" w:sz="0" w:space="0" w:color="auto"/>
        <w:right w:val="none" w:sz="0" w:space="0" w:color="auto"/>
      </w:divBdr>
      <w:divsChild>
        <w:div w:id="1737632876">
          <w:marLeft w:val="0"/>
          <w:marRight w:val="0"/>
          <w:marTop w:val="0"/>
          <w:marBottom w:val="0"/>
          <w:divBdr>
            <w:top w:val="none" w:sz="0" w:space="0" w:color="auto"/>
            <w:left w:val="none" w:sz="0" w:space="0" w:color="auto"/>
            <w:bottom w:val="none" w:sz="0" w:space="0" w:color="auto"/>
            <w:right w:val="none" w:sz="0" w:space="0" w:color="auto"/>
          </w:divBdr>
        </w:div>
        <w:div w:id="1265070691">
          <w:marLeft w:val="0"/>
          <w:marRight w:val="0"/>
          <w:marTop w:val="0"/>
          <w:marBottom w:val="0"/>
          <w:divBdr>
            <w:top w:val="none" w:sz="0" w:space="0" w:color="auto"/>
            <w:left w:val="none" w:sz="0" w:space="0" w:color="auto"/>
            <w:bottom w:val="none" w:sz="0" w:space="0" w:color="auto"/>
            <w:right w:val="none" w:sz="0" w:space="0" w:color="auto"/>
          </w:divBdr>
        </w:div>
        <w:div w:id="1667248332">
          <w:marLeft w:val="0"/>
          <w:marRight w:val="0"/>
          <w:marTop w:val="0"/>
          <w:marBottom w:val="0"/>
          <w:divBdr>
            <w:top w:val="none" w:sz="0" w:space="0" w:color="auto"/>
            <w:left w:val="none" w:sz="0" w:space="0" w:color="auto"/>
            <w:bottom w:val="none" w:sz="0" w:space="0" w:color="auto"/>
            <w:right w:val="none" w:sz="0" w:space="0" w:color="auto"/>
          </w:divBdr>
        </w:div>
        <w:div w:id="192889324">
          <w:marLeft w:val="0"/>
          <w:marRight w:val="0"/>
          <w:marTop w:val="0"/>
          <w:marBottom w:val="0"/>
          <w:divBdr>
            <w:top w:val="none" w:sz="0" w:space="0" w:color="auto"/>
            <w:left w:val="none" w:sz="0" w:space="0" w:color="auto"/>
            <w:bottom w:val="none" w:sz="0" w:space="0" w:color="auto"/>
            <w:right w:val="none" w:sz="0" w:space="0" w:color="auto"/>
          </w:divBdr>
        </w:div>
        <w:div w:id="694237455">
          <w:marLeft w:val="0"/>
          <w:marRight w:val="0"/>
          <w:marTop w:val="0"/>
          <w:marBottom w:val="0"/>
          <w:divBdr>
            <w:top w:val="none" w:sz="0" w:space="0" w:color="auto"/>
            <w:left w:val="none" w:sz="0" w:space="0" w:color="auto"/>
            <w:bottom w:val="none" w:sz="0" w:space="0" w:color="auto"/>
            <w:right w:val="none" w:sz="0" w:space="0" w:color="auto"/>
          </w:divBdr>
        </w:div>
        <w:div w:id="257565838">
          <w:marLeft w:val="0"/>
          <w:marRight w:val="0"/>
          <w:marTop w:val="0"/>
          <w:marBottom w:val="0"/>
          <w:divBdr>
            <w:top w:val="none" w:sz="0" w:space="0" w:color="auto"/>
            <w:left w:val="none" w:sz="0" w:space="0" w:color="auto"/>
            <w:bottom w:val="none" w:sz="0" w:space="0" w:color="auto"/>
            <w:right w:val="none" w:sz="0" w:space="0" w:color="auto"/>
          </w:divBdr>
        </w:div>
        <w:div w:id="1935355818">
          <w:marLeft w:val="0"/>
          <w:marRight w:val="0"/>
          <w:marTop w:val="0"/>
          <w:marBottom w:val="0"/>
          <w:divBdr>
            <w:top w:val="none" w:sz="0" w:space="0" w:color="auto"/>
            <w:left w:val="none" w:sz="0" w:space="0" w:color="auto"/>
            <w:bottom w:val="none" w:sz="0" w:space="0" w:color="auto"/>
            <w:right w:val="none" w:sz="0" w:space="0" w:color="auto"/>
          </w:divBdr>
        </w:div>
        <w:div w:id="770397551">
          <w:marLeft w:val="0"/>
          <w:marRight w:val="0"/>
          <w:marTop w:val="0"/>
          <w:marBottom w:val="0"/>
          <w:divBdr>
            <w:top w:val="none" w:sz="0" w:space="0" w:color="auto"/>
            <w:left w:val="none" w:sz="0" w:space="0" w:color="auto"/>
            <w:bottom w:val="none" w:sz="0" w:space="0" w:color="auto"/>
            <w:right w:val="none" w:sz="0" w:space="0" w:color="auto"/>
          </w:divBdr>
        </w:div>
        <w:div w:id="841697928">
          <w:marLeft w:val="0"/>
          <w:marRight w:val="0"/>
          <w:marTop w:val="0"/>
          <w:marBottom w:val="0"/>
          <w:divBdr>
            <w:top w:val="none" w:sz="0" w:space="0" w:color="auto"/>
            <w:left w:val="none" w:sz="0" w:space="0" w:color="auto"/>
            <w:bottom w:val="none" w:sz="0" w:space="0" w:color="auto"/>
            <w:right w:val="none" w:sz="0" w:space="0" w:color="auto"/>
          </w:divBdr>
        </w:div>
        <w:div w:id="1649744961">
          <w:marLeft w:val="0"/>
          <w:marRight w:val="0"/>
          <w:marTop w:val="0"/>
          <w:marBottom w:val="0"/>
          <w:divBdr>
            <w:top w:val="none" w:sz="0" w:space="0" w:color="auto"/>
            <w:left w:val="none" w:sz="0" w:space="0" w:color="auto"/>
            <w:bottom w:val="none" w:sz="0" w:space="0" w:color="auto"/>
            <w:right w:val="none" w:sz="0" w:space="0" w:color="auto"/>
          </w:divBdr>
        </w:div>
        <w:div w:id="1756779221">
          <w:marLeft w:val="0"/>
          <w:marRight w:val="0"/>
          <w:marTop w:val="0"/>
          <w:marBottom w:val="0"/>
          <w:divBdr>
            <w:top w:val="none" w:sz="0" w:space="0" w:color="auto"/>
            <w:left w:val="none" w:sz="0" w:space="0" w:color="auto"/>
            <w:bottom w:val="none" w:sz="0" w:space="0" w:color="auto"/>
            <w:right w:val="none" w:sz="0" w:space="0" w:color="auto"/>
          </w:divBdr>
        </w:div>
        <w:div w:id="1645892388">
          <w:marLeft w:val="0"/>
          <w:marRight w:val="0"/>
          <w:marTop w:val="0"/>
          <w:marBottom w:val="0"/>
          <w:divBdr>
            <w:top w:val="none" w:sz="0" w:space="0" w:color="auto"/>
            <w:left w:val="none" w:sz="0" w:space="0" w:color="auto"/>
            <w:bottom w:val="none" w:sz="0" w:space="0" w:color="auto"/>
            <w:right w:val="none" w:sz="0" w:space="0" w:color="auto"/>
          </w:divBdr>
        </w:div>
        <w:div w:id="599532553">
          <w:marLeft w:val="0"/>
          <w:marRight w:val="0"/>
          <w:marTop w:val="0"/>
          <w:marBottom w:val="0"/>
          <w:divBdr>
            <w:top w:val="none" w:sz="0" w:space="0" w:color="auto"/>
            <w:left w:val="none" w:sz="0" w:space="0" w:color="auto"/>
            <w:bottom w:val="none" w:sz="0" w:space="0" w:color="auto"/>
            <w:right w:val="none" w:sz="0" w:space="0" w:color="auto"/>
          </w:divBdr>
        </w:div>
        <w:div w:id="15541654">
          <w:marLeft w:val="0"/>
          <w:marRight w:val="0"/>
          <w:marTop w:val="0"/>
          <w:marBottom w:val="0"/>
          <w:divBdr>
            <w:top w:val="none" w:sz="0" w:space="0" w:color="auto"/>
            <w:left w:val="none" w:sz="0" w:space="0" w:color="auto"/>
            <w:bottom w:val="none" w:sz="0" w:space="0" w:color="auto"/>
            <w:right w:val="none" w:sz="0" w:space="0" w:color="auto"/>
          </w:divBdr>
        </w:div>
        <w:div w:id="1859736519">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371223788">
          <w:marLeft w:val="0"/>
          <w:marRight w:val="0"/>
          <w:marTop w:val="0"/>
          <w:marBottom w:val="0"/>
          <w:divBdr>
            <w:top w:val="none" w:sz="0" w:space="0" w:color="auto"/>
            <w:left w:val="none" w:sz="0" w:space="0" w:color="auto"/>
            <w:bottom w:val="none" w:sz="0" w:space="0" w:color="auto"/>
            <w:right w:val="none" w:sz="0" w:space="0" w:color="auto"/>
          </w:divBdr>
        </w:div>
        <w:div w:id="1051031178">
          <w:marLeft w:val="0"/>
          <w:marRight w:val="0"/>
          <w:marTop w:val="0"/>
          <w:marBottom w:val="0"/>
          <w:divBdr>
            <w:top w:val="none" w:sz="0" w:space="0" w:color="auto"/>
            <w:left w:val="none" w:sz="0" w:space="0" w:color="auto"/>
            <w:bottom w:val="none" w:sz="0" w:space="0" w:color="auto"/>
            <w:right w:val="none" w:sz="0" w:space="0" w:color="auto"/>
          </w:divBdr>
        </w:div>
        <w:div w:id="793526967">
          <w:marLeft w:val="0"/>
          <w:marRight w:val="0"/>
          <w:marTop w:val="0"/>
          <w:marBottom w:val="0"/>
          <w:divBdr>
            <w:top w:val="none" w:sz="0" w:space="0" w:color="auto"/>
            <w:left w:val="none" w:sz="0" w:space="0" w:color="auto"/>
            <w:bottom w:val="none" w:sz="0" w:space="0" w:color="auto"/>
            <w:right w:val="none" w:sz="0" w:space="0" w:color="auto"/>
          </w:divBdr>
        </w:div>
        <w:div w:id="2101440984">
          <w:marLeft w:val="0"/>
          <w:marRight w:val="0"/>
          <w:marTop w:val="0"/>
          <w:marBottom w:val="0"/>
          <w:divBdr>
            <w:top w:val="none" w:sz="0" w:space="0" w:color="auto"/>
            <w:left w:val="none" w:sz="0" w:space="0" w:color="auto"/>
            <w:bottom w:val="none" w:sz="0" w:space="0" w:color="auto"/>
            <w:right w:val="none" w:sz="0" w:space="0" w:color="auto"/>
          </w:divBdr>
        </w:div>
        <w:div w:id="453714879">
          <w:marLeft w:val="0"/>
          <w:marRight w:val="0"/>
          <w:marTop w:val="0"/>
          <w:marBottom w:val="0"/>
          <w:divBdr>
            <w:top w:val="none" w:sz="0" w:space="0" w:color="auto"/>
            <w:left w:val="none" w:sz="0" w:space="0" w:color="auto"/>
            <w:bottom w:val="none" w:sz="0" w:space="0" w:color="auto"/>
            <w:right w:val="none" w:sz="0" w:space="0" w:color="auto"/>
          </w:divBdr>
        </w:div>
        <w:div w:id="1965845910">
          <w:marLeft w:val="0"/>
          <w:marRight w:val="0"/>
          <w:marTop w:val="0"/>
          <w:marBottom w:val="0"/>
          <w:divBdr>
            <w:top w:val="none" w:sz="0" w:space="0" w:color="auto"/>
            <w:left w:val="none" w:sz="0" w:space="0" w:color="auto"/>
            <w:bottom w:val="none" w:sz="0" w:space="0" w:color="auto"/>
            <w:right w:val="none" w:sz="0" w:space="0" w:color="auto"/>
          </w:divBdr>
        </w:div>
        <w:div w:id="132593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2020-04-26T11:13:00Z</dcterms:created>
  <dcterms:modified xsi:type="dcterms:W3CDTF">2020-04-26T11:13:00Z</dcterms:modified>
</cp:coreProperties>
</file>